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A0" w:rsidRDefault="00942F8E" w:rsidP="00C80692">
      <w:pPr>
        <w:pStyle w:val="Title"/>
      </w:pPr>
      <w:r w:rsidRPr="00B039F7">
        <w:rPr>
          <w:noProof/>
          <w:lang w:eastAsia="en-AU"/>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552450</wp:posOffset>
                </wp:positionV>
                <wp:extent cx="236093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039F7" w:rsidRPr="00C80692" w:rsidRDefault="00C80692">
                            <w:pPr>
                              <w:rPr>
                                <w:rFonts w:asciiTheme="majorHAnsi" w:hAnsiTheme="majorHAnsi"/>
                                <w:b/>
                                <w:color w:val="FFFFFF" w:themeColor="background1"/>
                              </w:rPr>
                            </w:pPr>
                            <w:r w:rsidRPr="00C80692">
                              <w:rPr>
                                <w:rFonts w:asciiTheme="majorHAnsi" w:hAnsiTheme="majorHAnsi"/>
                                <w:b/>
                                <w:color w:val="FFFFFF" w:themeColor="background1"/>
                                <w:sz w:val="50"/>
                                <w:szCs w:val="50"/>
                              </w:rPr>
                              <w:t>SUBMISSION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3.5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gFDwIAAPo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" filled="f" stroked="f">
                <v:textbox style="mso-fit-shape-to-text:t">
                  <w:txbxContent>
                    <w:p w:rsidR="00B039F7" w:rsidRPr="00C80692" w:rsidRDefault="00C80692">
                      <w:pPr>
                        <w:rPr>
                          <w:rFonts w:asciiTheme="majorHAnsi" w:hAnsiTheme="majorHAnsi"/>
                          <w:b/>
                          <w:color w:val="FFFFFF" w:themeColor="background1"/>
                        </w:rPr>
                      </w:pPr>
                      <w:r w:rsidRPr="00C80692">
                        <w:rPr>
                          <w:rFonts w:asciiTheme="majorHAnsi" w:hAnsiTheme="majorHAnsi"/>
                          <w:b/>
                          <w:color w:val="FFFFFF" w:themeColor="background1"/>
                          <w:sz w:val="50"/>
                          <w:szCs w:val="50"/>
                        </w:rPr>
                        <w:t>SUBMISSION</w:t>
                      </w:r>
                    </w:p>
                  </w:txbxContent>
                </v:textbox>
                <w10:wrap type="square" anchorx="margin"/>
              </v:shape>
            </w:pict>
          </mc:Fallback>
        </mc:AlternateContent>
      </w:r>
      <w:r w:rsidR="00C80692" w:rsidRPr="00463BA0">
        <w:rPr>
          <w:noProof/>
          <w:lang w:eastAsia="en-AU"/>
        </w:rPr>
        <mc:AlternateContent>
          <mc:Choice Requires="wps">
            <w:drawing>
              <wp:anchor distT="45720" distB="45720" distL="114300" distR="114300" simplePos="0" relativeHeight="251661312" behindDoc="0" locked="0" layoutInCell="1" allowOverlap="1" wp14:anchorId="73D34C63" wp14:editId="21E7571A">
                <wp:simplePos x="0" y="0"/>
                <wp:positionH relativeFrom="margin">
                  <wp:posOffset>5288915</wp:posOffset>
                </wp:positionH>
                <wp:positionV relativeFrom="paragraph">
                  <wp:posOffset>1415415</wp:posOffset>
                </wp:positionV>
                <wp:extent cx="117157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47675"/>
                        </a:xfrm>
                        <a:prstGeom prst="rect">
                          <a:avLst/>
                        </a:prstGeom>
                        <a:solidFill>
                          <a:srgbClr val="FFFFFF"/>
                        </a:solidFill>
                        <a:ln w="9525">
                          <a:solidFill>
                            <a:schemeClr val="bg1"/>
                          </a:solidFill>
                          <a:miter lim="800000"/>
                          <a:headEnd/>
                          <a:tailEnd/>
                        </a:ln>
                      </wps:spPr>
                      <wps:txbx>
                        <w:txbxContent>
                          <w:p w:rsidR="00463BA0" w:rsidRPr="00942F8E" w:rsidRDefault="00463BA0" w:rsidP="00463BA0">
                            <w:pPr>
                              <w:pStyle w:val="Subtitle"/>
                              <w:spacing w:after="0"/>
                              <w:rPr>
                                <w:rFonts w:eastAsiaTheme="majorEastAsia" w:cs="Open Sans"/>
                                <w:color w:val="auto"/>
                                <w:sz w:val="18"/>
                                <w:szCs w:val="18"/>
                              </w:rPr>
                            </w:pPr>
                            <w:r w:rsidRPr="00942F8E">
                              <w:rPr>
                                <w:rFonts w:eastAsiaTheme="majorEastAsia" w:cs="Open Sans"/>
                                <w:color w:val="auto"/>
                                <w:sz w:val="18"/>
                                <w:szCs w:val="18"/>
                              </w:rPr>
                              <w:t xml:space="preserve">CBM Australia </w:t>
                            </w:r>
                            <w:r w:rsidRPr="00942F8E">
                              <w:rPr>
                                <w:rFonts w:eastAsiaTheme="majorEastAsia" w:cs="Open Sans"/>
                                <w:color w:val="auto"/>
                                <w:sz w:val="18"/>
                                <w:szCs w:val="18"/>
                              </w:rPr>
                              <w:br/>
                            </w:r>
                            <w:r w:rsidR="00B039F7" w:rsidRPr="00942F8E">
                              <w:rPr>
                                <w:rFonts w:eastAsiaTheme="majorEastAsia" w:cs="Open Sans"/>
                                <w:color w:val="auto"/>
                                <w:sz w:val="18"/>
                                <w:szCs w:val="18"/>
                              </w:rPr>
                              <w:t>February</w:t>
                            </w:r>
                            <w:r w:rsidRPr="00942F8E">
                              <w:rPr>
                                <w:rFonts w:eastAsiaTheme="majorEastAsia" w:cs="Open Sans"/>
                                <w:color w:val="auto"/>
                                <w:sz w:val="18"/>
                                <w:szCs w:val="18"/>
                              </w:rPr>
                              <w:t xml:space="preserve"> 2020</w:t>
                            </w:r>
                          </w:p>
                          <w:p w:rsidR="00463BA0" w:rsidRDefault="00463B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34C63" id="_x0000_s1027" type="#_x0000_t202" style="position:absolute;margin-left:416.45pt;margin-top:111.45pt;width:92.25pt;height: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" strokecolor="white [3212]">
                <v:textbox>
                  <w:txbxContent>
                    <w:p w:rsidR="00463BA0" w:rsidRPr="00942F8E" w:rsidRDefault="00463BA0" w:rsidP="00463BA0">
                      <w:pPr>
                        <w:pStyle w:val="Subtitle"/>
                        <w:spacing w:after="0"/>
                        <w:rPr>
                          <w:rFonts w:eastAsiaTheme="majorEastAsia" w:cs="Open Sans"/>
                          <w:color w:val="auto"/>
                          <w:sz w:val="18"/>
                          <w:szCs w:val="18"/>
                        </w:rPr>
                      </w:pPr>
                      <w:r w:rsidRPr="00942F8E">
                        <w:rPr>
                          <w:rFonts w:eastAsiaTheme="majorEastAsia" w:cs="Open Sans"/>
                          <w:color w:val="auto"/>
                          <w:sz w:val="18"/>
                          <w:szCs w:val="18"/>
                        </w:rPr>
                        <w:t xml:space="preserve">CBM Australia </w:t>
                      </w:r>
                      <w:r w:rsidRPr="00942F8E">
                        <w:rPr>
                          <w:rFonts w:eastAsiaTheme="majorEastAsia" w:cs="Open Sans"/>
                          <w:color w:val="auto"/>
                          <w:sz w:val="18"/>
                          <w:szCs w:val="18"/>
                        </w:rPr>
                        <w:br/>
                      </w:r>
                      <w:r w:rsidR="00B039F7" w:rsidRPr="00942F8E">
                        <w:rPr>
                          <w:rFonts w:eastAsiaTheme="majorEastAsia" w:cs="Open Sans"/>
                          <w:color w:val="auto"/>
                          <w:sz w:val="18"/>
                          <w:szCs w:val="18"/>
                        </w:rPr>
                        <w:t>February</w:t>
                      </w:r>
                      <w:r w:rsidRPr="00942F8E">
                        <w:rPr>
                          <w:rFonts w:eastAsiaTheme="majorEastAsia" w:cs="Open Sans"/>
                          <w:color w:val="auto"/>
                          <w:sz w:val="18"/>
                          <w:szCs w:val="18"/>
                        </w:rPr>
                        <w:t xml:space="preserve"> 2020</w:t>
                      </w:r>
                    </w:p>
                    <w:p w:rsidR="00463BA0" w:rsidRDefault="00463BA0"/>
                  </w:txbxContent>
                </v:textbox>
                <w10:wrap type="square" anchorx="margin"/>
              </v:shape>
            </w:pict>
          </mc:Fallback>
        </mc:AlternateContent>
      </w:r>
      <w:r w:rsidR="00B039F7" w:rsidRPr="00463BA0">
        <w:rPr>
          <w:rFonts w:eastAsiaTheme="minorEastAsia"/>
          <w:noProof/>
          <w:kern w:val="0"/>
          <w:lang w:eastAsia="en-AU"/>
        </w:rPr>
        <w:drawing>
          <wp:anchor distT="107950" distB="180340" distL="114300" distR="114300" simplePos="0" relativeHeight="251659264" behindDoc="0" locked="0" layoutInCell="1" allowOverlap="1" wp14:anchorId="640F3B7A" wp14:editId="3769A0AC">
            <wp:simplePos x="0" y="0"/>
            <wp:positionH relativeFrom="margin">
              <wp:posOffset>4594860</wp:posOffset>
            </wp:positionH>
            <wp:positionV relativeFrom="margin">
              <wp:posOffset>-24765</wp:posOffset>
            </wp:positionV>
            <wp:extent cx="1581150" cy="1009650"/>
            <wp:effectExtent l="0" t="0" r="0" b="0"/>
            <wp:wrapNone/>
            <wp:docPr id="1" name="Picture 1" title="CBM logo and caption: &quot;together we can do mo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sh\Desktop\cbm_eng_cmyk_2.png"/>
                    <pic:cNvPicPr>
                      <a:picLocks noChangeAspect="1" noChangeArrowheads="1"/>
                    </pic:cNvPicPr>
                  </pic:nvPicPr>
                  <pic:blipFill>
                    <a:blip r:embed="rId8" cstate="print"/>
                    <a:stretch>
                      <a:fillRect/>
                    </a:stretch>
                  </pic:blipFill>
                  <pic:spPr bwMode="auto">
                    <a:xfrm>
                      <a:off x="0" y="0"/>
                      <a:ext cx="1581150" cy="1009650"/>
                    </a:xfrm>
                    <a:prstGeom prst="rect">
                      <a:avLst/>
                    </a:prstGeom>
                    <a:noFill/>
                    <a:ln w="9525">
                      <a:noFill/>
                      <a:miter lim="800000"/>
                      <a:headEnd/>
                      <a:tailEnd/>
                    </a:ln>
                  </pic:spPr>
                </pic:pic>
              </a:graphicData>
            </a:graphic>
          </wp:anchor>
        </w:drawing>
      </w:r>
      <w:r w:rsidR="000E19F4" w:rsidRPr="00463BA0">
        <w:rPr>
          <w:rFonts w:eastAsiaTheme="minorEastAsia"/>
          <w:noProof/>
          <w:kern w:val="0"/>
          <w:lang w:eastAsia="en-AU"/>
        </w:rPr>
        <mc:AlternateContent>
          <mc:Choice Requires="wps">
            <w:drawing>
              <wp:anchor distT="0" distB="252095" distL="114300" distR="114300" simplePos="0" relativeHeight="251658240" behindDoc="1" locked="0" layoutInCell="1" allowOverlap="1" wp14:anchorId="6A45A8CB" wp14:editId="0D696A70">
                <wp:simplePos x="0" y="0"/>
                <wp:positionH relativeFrom="page">
                  <wp:align>center</wp:align>
                </wp:positionH>
                <wp:positionV relativeFrom="page">
                  <wp:align>top</wp:align>
                </wp:positionV>
                <wp:extent cx="7820025" cy="1515110"/>
                <wp:effectExtent l="0" t="0" r="9525" b="889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1515110"/>
                        </a:xfrm>
                        <a:prstGeom prst="rect">
                          <a:avLst/>
                        </a:prstGeom>
                        <a:solidFill>
                          <a:schemeClr val="accent1"/>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47638" id="Rectangle 2" o:spid="_x0000_s1026" style="position:absolute;margin-left:0;margin-top:0;width:615.75pt;height:119.3pt;z-index:-251658240;visibility:visible;mso-wrap-style:square;mso-width-percent:0;mso-height-percent:0;mso-wrap-distance-left:9pt;mso-wrap-distance-top:0;mso-wrap-distance-right:9pt;mso-wrap-distance-bottom:19.85pt;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" fillcolor="#c4141b [3204]" stroked="f">
                <w10:wrap type="square" anchorx="page" anchory="page"/>
              </v:rect>
            </w:pict>
          </mc:Fallback>
        </mc:AlternateContent>
      </w:r>
    </w:p>
    <w:p w:rsidR="00B039F7" w:rsidRDefault="00B039F7" w:rsidP="00C80692">
      <w:pPr>
        <w:pStyle w:val="Title"/>
      </w:pPr>
    </w:p>
    <w:p w:rsidR="006C0B3C" w:rsidRPr="00463BA0" w:rsidRDefault="00C80692" w:rsidP="00C80692">
      <w:pPr>
        <w:pStyle w:val="Title"/>
      </w:pPr>
      <w:r>
        <w:t>Australia’s New</w:t>
      </w:r>
      <w:r w:rsidR="00582B4E" w:rsidRPr="00463BA0">
        <w:t xml:space="preserve"> </w:t>
      </w:r>
      <w:r w:rsidR="00463BA0" w:rsidRPr="00463BA0">
        <w:t xml:space="preserve">International </w:t>
      </w:r>
      <w:r w:rsidR="00582B4E" w:rsidRPr="00463BA0">
        <w:t>Development Policy</w:t>
      </w:r>
    </w:p>
    <w:p w:rsidR="00C80692" w:rsidRDefault="00C80692" w:rsidP="004E158C">
      <w:pPr>
        <w:pStyle w:val="Heading1"/>
        <w:spacing w:before="0"/>
      </w:pPr>
    </w:p>
    <w:p w:rsidR="00942F8E" w:rsidRPr="008B7C2D" w:rsidRDefault="00942F8E" w:rsidP="00942F8E">
      <w:pPr>
        <w:pStyle w:val="Heading1"/>
        <w:spacing w:before="0"/>
        <w:rPr>
          <w:rFonts w:asciiTheme="minorHAnsi" w:hAnsiTheme="minorHAnsi"/>
        </w:rPr>
      </w:pPr>
      <w:r w:rsidRPr="008B7C2D">
        <w:rPr>
          <w:rFonts w:asciiTheme="minorHAnsi" w:hAnsiTheme="minorHAnsi"/>
        </w:rPr>
        <w:t>Building upon Australia’s leadership for an inclusive world</w:t>
      </w:r>
    </w:p>
    <w:p w:rsidR="00942F8E" w:rsidRPr="008B7C2D" w:rsidRDefault="00942F8E" w:rsidP="00942F8E">
      <w:pPr>
        <w:spacing w:after="120" w:line="240" w:lineRule="auto"/>
        <w:jc w:val="both"/>
        <w:rPr>
          <w:rFonts w:cs="Open Sans"/>
          <w:lang w:bidi="en-US"/>
        </w:rPr>
      </w:pPr>
      <w:r w:rsidRPr="008B7C2D">
        <w:rPr>
          <w:rFonts w:cs="Open Sans"/>
          <w:lang w:bidi="en-US"/>
        </w:rPr>
        <w:t>Australia’s commitment to justice, fairness and inclusion have underpinned international action and established a legacy of leadership in disability-inclusive development. On the global stage, Australia has been at the forefront of developing inclusive policy frameworks, championing disability inclusion in humanitarian contexts, and supporting countries in our region to strengthen their own systems to better respond to the needs and capacities of people with disabilities. This work has been undertaken not to gain political capital or actively pursue leadership, but to reflect the humanitarian values and nature of Australians.</w:t>
      </w:r>
    </w:p>
    <w:p w:rsidR="00942F8E" w:rsidRPr="008B7C2D" w:rsidRDefault="00942F8E" w:rsidP="00942F8E">
      <w:pPr>
        <w:spacing w:after="120" w:line="240" w:lineRule="auto"/>
        <w:jc w:val="both"/>
        <w:rPr>
          <w:rFonts w:cs="Open Sans"/>
          <w:lang w:bidi="en-US"/>
        </w:rPr>
      </w:pPr>
      <w:r w:rsidRPr="008B7C2D">
        <w:rPr>
          <w:rFonts w:cs="Open Sans"/>
          <w:lang w:bidi="en-US"/>
        </w:rPr>
        <w:t xml:space="preserve">Australia’s new International Development Policy (IDP) should drive </w:t>
      </w:r>
      <w:r w:rsidR="00F23CDF">
        <w:rPr>
          <w:rFonts w:cs="Open Sans"/>
          <w:lang w:bidi="en-US"/>
        </w:rPr>
        <w:t xml:space="preserve">stability, prosperity and resilience </w:t>
      </w:r>
      <w:r w:rsidRPr="008B7C2D">
        <w:rPr>
          <w:rFonts w:cs="Open Sans"/>
          <w:lang w:bidi="en-US"/>
        </w:rPr>
        <w:t>in a way that is representative of our national values and character. However, the IDP should not stand alone; the Sustainable Development Goals (SDGs) provide an overarching framework for achieving inclusive and sustainable development in line with not only Australia’s interests and values, but global common interests and values.  The SDGs are wide-reaching and inclusive; calling for outcomes to be achieved for ‘all people, everywhere’, with disability specifically referenced 11 times across five goals</w:t>
      </w:r>
      <w:hyperlink r:id="rId9" w:history="1">
        <w:r w:rsidRPr="008B7C2D">
          <w:rPr>
            <w:rStyle w:val="Hyperlink"/>
            <w:rFonts w:cs="Open Sans"/>
            <w:vertAlign w:val="superscript"/>
            <w:lang w:bidi="en-US"/>
          </w:rPr>
          <w:endnoteReference w:id="1"/>
        </w:r>
      </w:hyperlink>
      <w:r w:rsidRPr="008B7C2D">
        <w:rPr>
          <w:rFonts w:cs="Open Sans"/>
          <w:lang w:bidi="en-US"/>
        </w:rPr>
        <w:t xml:space="preserve">. </w:t>
      </w:r>
    </w:p>
    <w:p w:rsidR="00942F8E" w:rsidRPr="008B7C2D" w:rsidRDefault="00942F8E" w:rsidP="00942F8E">
      <w:pPr>
        <w:spacing w:after="120" w:line="240" w:lineRule="auto"/>
        <w:jc w:val="both"/>
        <w:rPr>
          <w:rFonts w:cs="Open Sans"/>
          <w:lang w:bidi="en-US"/>
        </w:rPr>
      </w:pPr>
      <w:r w:rsidRPr="008B7C2D">
        <w:rPr>
          <w:rFonts w:cs="Open Sans"/>
          <w:lang w:bidi="en-US"/>
        </w:rPr>
        <w:t>It is in this context that Australia enters a new decade full of opportunity in which to embed a modernised and fully inclusive IDP. A decade in which to take action to alleviate poverty, inequality and injustice, whilst strengthening Australia’s international relationships. The new IDP should be grounded in the ambitious 2017 Foreign Policy White Paper where, ‘Australia is committed to promoting the rights of people with disabilities’</w:t>
      </w:r>
      <w:hyperlink r:id="rId10" w:history="1">
        <w:r w:rsidRPr="008B7C2D">
          <w:rPr>
            <w:rStyle w:val="Hyperlink"/>
            <w:rFonts w:cs="Open Sans"/>
            <w:vertAlign w:val="superscript"/>
            <w:lang w:bidi="en-US"/>
          </w:rPr>
          <w:endnoteReference w:id="2"/>
        </w:r>
      </w:hyperlink>
      <w:r w:rsidRPr="008B7C2D">
        <w:rPr>
          <w:rFonts w:cs="Open Sans"/>
          <w:lang w:bidi="en-US"/>
        </w:rPr>
        <w:t xml:space="preserve"> and ‘focus </w:t>
      </w:r>
      <w:r w:rsidRPr="008B7C2D">
        <w:rPr>
          <w:rFonts w:eastAsiaTheme="majorEastAsia" w:cs="Open Sans"/>
          <w:bCs/>
          <w:color w:val="000000" w:themeColor="text1"/>
        </w:rPr>
        <w:t>on poverty reduction and promoting the participation in the economy and society of the most disadvantaged, including women and girls and people living with disabilities’.</w:t>
      </w:r>
      <w:hyperlink r:id="rId11" w:history="1">
        <w:r w:rsidRPr="008B7C2D">
          <w:rPr>
            <w:rStyle w:val="Hyperlink"/>
            <w:rFonts w:eastAsiaTheme="majorEastAsia" w:cs="Open Sans"/>
            <w:bCs/>
            <w:vertAlign w:val="superscript"/>
          </w:rPr>
          <w:endnoteReference w:id="3"/>
        </w:r>
      </w:hyperlink>
    </w:p>
    <w:p w:rsidR="00942F8E" w:rsidRPr="008B7C2D" w:rsidRDefault="00942F8E" w:rsidP="00942F8E">
      <w:pPr>
        <w:spacing w:after="120"/>
        <w:jc w:val="both"/>
        <w:rPr>
          <w:rFonts w:cs="Open Sans"/>
          <w:lang w:bidi="en-US"/>
        </w:rPr>
      </w:pPr>
      <w:r w:rsidRPr="008B7C2D">
        <w:rPr>
          <w:rFonts w:cs="Open Sans"/>
          <w:lang w:bidi="en-US"/>
        </w:rPr>
        <w:t>Australia’s Foreign Policy White Paper, designed to guide a decade of influence and investment, builds upon the relationships developed through years of target</w:t>
      </w:r>
      <w:r w:rsidR="00F23CDF">
        <w:rPr>
          <w:rFonts w:cs="Open Sans"/>
          <w:lang w:bidi="en-US"/>
        </w:rPr>
        <w:t xml:space="preserve">ed, effective aid investments. </w:t>
      </w:r>
      <w:r w:rsidRPr="008B7C2D">
        <w:rPr>
          <w:rFonts w:cs="Open Sans"/>
          <w:lang w:bidi="en-US"/>
        </w:rPr>
        <w:t xml:space="preserve">In partnering with others to achieve Australia’s goals, the effective relationships and proven approaches should not be disregarded. </w:t>
      </w:r>
      <w:r w:rsidRPr="0069366A">
        <w:rPr>
          <w:rFonts w:cs="Open Sans"/>
          <w:lang w:bidi="en-US"/>
        </w:rPr>
        <w:t xml:space="preserve">Forsaking </w:t>
      </w:r>
      <w:r w:rsidR="00A13E4A" w:rsidRPr="0069366A">
        <w:rPr>
          <w:rFonts w:cs="Open Sans"/>
          <w:lang w:bidi="en-US"/>
        </w:rPr>
        <w:t>low or middle income countries experiencing significant challenges in human developme</w:t>
      </w:r>
      <w:bookmarkStart w:id="0" w:name="_GoBack"/>
      <w:bookmarkEnd w:id="0"/>
      <w:r w:rsidR="00A13E4A" w:rsidRPr="0069366A">
        <w:rPr>
          <w:rFonts w:cs="Open Sans"/>
          <w:lang w:bidi="en-US"/>
        </w:rPr>
        <w:t xml:space="preserve">nt </w:t>
      </w:r>
      <w:r w:rsidR="0069366A" w:rsidRPr="0069366A">
        <w:rPr>
          <w:rFonts w:cs="Open Sans"/>
          <w:lang w:bidi="en-US"/>
        </w:rPr>
        <w:t>to focus solely on</w:t>
      </w:r>
      <w:r w:rsidRPr="0069366A">
        <w:rPr>
          <w:rFonts w:cs="Open Sans"/>
          <w:lang w:bidi="en-US"/>
        </w:rPr>
        <w:t xml:space="preserve"> our neighbours in the Pacific undermines Australia’s ability to influence global peace, stability and prosperity.</w:t>
      </w:r>
      <w:r w:rsidRPr="008B7C2D">
        <w:rPr>
          <w:rFonts w:cs="Open Sans"/>
          <w:lang w:bidi="en-US"/>
        </w:rPr>
        <w:t xml:space="preserve"> The unprecedented humanitarian and climate challenges the world currently faces are threatening the hard won gains across all areas of human development.</w:t>
      </w:r>
    </w:p>
    <w:p w:rsidR="00942F8E" w:rsidRPr="008B7C2D" w:rsidRDefault="00942F8E" w:rsidP="00942F8E">
      <w:pPr>
        <w:spacing w:after="120"/>
        <w:jc w:val="both"/>
        <w:rPr>
          <w:rFonts w:cs="Open Sans"/>
        </w:rPr>
      </w:pPr>
      <w:r w:rsidRPr="008B7C2D">
        <w:rPr>
          <w:rFonts w:cs="Open Sans"/>
          <w:lang w:bidi="en-US"/>
        </w:rPr>
        <w:t xml:space="preserve">CBM Australia supports an IDP built on the principles of inclusion, equality and empowerment. </w:t>
      </w:r>
      <w:r w:rsidRPr="008B7C2D">
        <w:rPr>
          <w:rFonts w:cs="Open Sans"/>
        </w:rPr>
        <w:t xml:space="preserve">Australia’s investment in the stability and resilience of </w:t>
      </w:r>
      <w:r w:rsidR="00F23CDF">
        <w:rPr>
          <w:rFonts w:cs="Open Sans"/>
        </w:rPr>
        <w:t>low and middle income</w:t>
      </w:r>
      <w:r w:rsidRPr="008B7C2D">
        <w:rPr>
          <w:rFonts w:cs="Open Sans"/>
        </w:rPr>
        <w:t xml:space="preserve"> countries contributes to improving our own security and prosperity. And our national interests are best advanced by an international system anchored in ‘international law, support for the rights and freedoms in United Nations declarations, and the principles of good governances, </w:t>
      </w:r>
      <w:r w:rsidRPr="008B7C2D">
        <w:rPr>
          <w:rFonts w:cs="Open Sans"/>
        </w:rPr>
        <w:lastRenderedPageBreak/>
        <w:t>transparency and accountability’.</w:t>
      </w:r>
      <w:hyperlink r:id="rId12" w:history="1">
        <w:r w:rsidRPr="008B7C2D">
          <w:rPr>
            <w:rStyle w:val="Hyperlink"/>
            <w:rFonts w:cs="Open Sans"/>
            <w:vertAlign w:val="superscript"/>
          </w:rPr>
          <w:endnoteReference w:id="4"/>
        </w:r>
      </w:hyperlink>
      <w:r w:rsidRPr="008B7C2D">
        <w:rPr>
          <w:rFonts w:cs="Open Sans"/>
        </w:rPr>
        <w:t xml:space="preserve">  It is imperative that Australia maintains a strategic, global view of what the IDP can achieve.</w:t>
      </w:r>
      <w:r w:rsidRPr="008B7C2D">
        <w:rPr>
          <w:rFonts w:cs="Open Sans"/>
          <w:lang w:bidi="en-US"/>
        </w:rPr>
        <w:t xml:space="preserve"> </w:t>
      </w:r>
    </w:p>
    <w:p w:rsidR="00942F8E" w:rsidRPr="008B7C2D" w:rsidRDefault="00942F8E" w:rsidP="00942F8E">
      <w:pPr>
        <w:spacing w:after="120"/>
        <w:jc w:val="both"/>
        <w:rPr>
          <w:rFonts w:cs="Open Sans"/>
          <w:lang w:bidi="en-US"/>
        </w:rPr>
      </w:pPr>
      <w:r w:rsidRPr="008B7C2D">
        <w:rPr>
          <w:rFonts w:cs="Open Sans"/>
          <w:lang w:bidi="en-US"/>
        </w:rPr>
        <w:t>Across all humanitarian, development and human rights contexts people with disabilities are being left behind</w:t>
      </w:r>
      <w:hyperlink r:id="rId13" w:history="1">
        <w:r w:rsidRPr="008B7C2D">
          <w:rPr>
            <w:rStyle w:val="Hyperlink"/>
            <w:rFonts w:cs="Open Sans"/>
            <w:vertAlign w:val="superscript"/>
            <w:lang w:bidi="en-US"/>
          </w:rPr>
          <w:endnoteReference w:id="5"/>
        </w:r>
      </w:hyperlink>
      <w:r w:rsidRPr="008B7C2D">
        <w:rPr>
          <w:rFonts w:cs="Open Sans"/>
          <w:lang w:bidi="en-US"/>
        </w:rPr>
        <w:t xml:space="preserve">.  Central to an IDP that reflects an ambitious and internationally influential Australia is the need to embed disability inclusion as a cross-cutting theme, supported by a third iteration of DFAT’s disability-inclusive development strategy.  Disability-inclusive development supports people with disabilities in claiming their human rights, being active members of society and ensuring they are meaningful participants of all development and humanitarian efforts. People with disabilities make up an estimated 15 per cent of the global population, and are not just people with disabilities; they are also members of every other group targeted by the IDP. They are women and girls, </w:t>
      </w:r>
      <w:r>
        <w:rPr>
          <w:rFonts w:cs="Open Sans"/>
          <w:lang w:bidi="en-US"/>
        </w:rPr>
        <w:t xml:space="preserve">LGBTI, </w:t>
      </w:r>
      <w:r w:rsidRPr="008B7C2D">
        <w:rPr>
          <w:rFonts w:cs="Open Sans"/>
          <w:lang w:bidi="en-US"/>
        </w:rPr>
        <w:t xml:space="preserve">users of health and education services, farmers, small business owners, office workers and students.  No matter what sector or which geographic region, people with disabilities must be included. </w:t>
      </w:r>
    </w:p>
    <w:p w:rsidR="00942F8E" w:rsidRPr="008B7C2D" w:rsidRDefault="00942F8E" w:rsidP="00942F8E">
      <w:pPr>
        <w:pStyle w:val="Heading1"/>
        <w:rPr>
          <w:rFonts w:asciiTheme="minorHAnsi" w:hAnsiTheme="minorHAnsi"/>
        </w:rPr>
      </w:pPr>
      <w:r w:rsidRPr="008B7C2D">
        <w:rPr>
          <w:rFonts w:asciiTheme="minorHAnsi" w:hAnsiTheme="minorHAnsi"/>
        </w:rPr>
        <w:t xml:space="preserve">Investing in </w:t>
      </w:r>
      <w:r>
        <w:rPr>
          <w:rFonts w:asciiTheme="minorHAnsi" w:hAnsiTheme="minorHAnsi"/>
        </w:rPr>
        <w:t>d</w:t>
      </w:r>
      <w:r w:rsidRPr="008B7C2D">
        <w:rPr>
          <w:rFonts w:asciiTheme="minorHAnsi" w:hAnsiTheme="minorHAnsi"/>
        </w:rPr>
        <w:t>isability-i</w:t>
      </w:r>
      <w:r>
        <w:rPr>
          <w:rFonts w:asciiTheme="minorHAnsi" w:hAnsiTheme="minorHAnsi"/>
        </w:rPr>
        <w:t>nclusive d</w:t>
      </w:r>
      <w:r w:rsidRPr="008B7C2D">
        <w:rPr>
          <w:rFonts w:asciiTheme="minorHAnsi" w:hAnsiTheme="minorHAnsi"/>
        </w:rPr>
        <w:t xml:space="preserve">evelopment </w:t>
      </w:r>
    </w:p>
    <w:p w:rsidR="00942F8E" w:rsidRPr="008B7C2D" w:rsidRDefault="00942F8E" w:rsidP="00F23CDF">
      <w:pPr>
        <w:spacing w:after="120"/>
        <w:jc w:val="both"/>
        <w:rPr>
          <w:rFonts w:cs="Open Sans"/>
        </w:rPr>
      </w:pPr>
      <w:r w:rsidRPr="008B7C2D">
        <w:rPr>
          <w:rFonts w:cs="Open Sans"/>
        </w:rPr>
        <w:t xml:space="preserve">While inclusion is a values-based imperative for Australia’s aid and foreign policy, supportive statements alone are not enough to generate real outcomes for people with disabilities. Inclusion requires stable, predictable and long-term investment. With Australia’s new IDP outlining priorities </w:t>
      </w:r>
      <w:r>
        <w:rPr>
          <w:rFonts w:cs="Open Sans"/>
        </w:rPr>
        <w:t>in</w:t>
      </w:r>
      <w:r w:rsidRPr="008B7C2D">
        <w:rPr>
          <w:rFonts w:cs="Open Sans"/>
        </w:rPr>
        <w:t xml:space="preserve"> the next five-to-ten years, efforts should be made to ensure that underlying strategies such as</w:t>
      </w:r>
      <w:r>
        <w:rPr>
          <w:rFonts w:cs="Open Sans"/>
        </w:rPr>
        <w:t xml:space="preserve"> the Australian Government’s</w:t>
      </w:r>
      <w:r w:rsidRPr="008B7C2D">
        <w:rPr>
          <w:rFonts w:cs="Open Sans"/>
        </w:rPr>
        <w:t xml:space="preserve"> </w:t>
      </w:r>
      <w:r w:rsidRPr="008B7C2D">
        <w:rPr>
          <w:rFonts w:cs="Open Sans"/>
          <w:i/>
        </w:rPr>
        <w:t>Development for All 2015–2020: Strategy for strengthening disability-inclusive development in Australia's aid program</w:t>
      </w:r>
      <w:r w:rsidRPr="008B7C2D">
        <w:rPr>
          <w:rFonts w:cs="Open Sans"/>
        </w:rPr>
        <w:t xml:space="preserve"> are renewed and expanded to cover the broader foreign policy portfolio. </w:t>
      </w:r>
    </w:p>
    <w:p w:rsidR="00942F8E" w:rsidRPr="008B7C2D" w:rsidRDefault="00942F8E" w:rsidP="00F23CDF">
      <w:pPr>
        <w:widowControl w:val="0"/>
        <w:spacing w:after="120"/>
        <w:jc w:val="both"/>
        <w:rPr>
          <w:rFonts w:cs="Open Sans"/>
        </w:rPr>
      </w:pPr>
      <w:r w:rsidRPr="008B7C2D">
        <w:rPr>
          <w:rFonts w:cs="Open Sans"/>
        </w:rPr>
        <w:t xml:space="preserve">The introduction of </w:t>
      </w:r>
      <w:r w:rsidRPr="008B7C2D">
        <w:rPr>
          <w:rFonts w:cs="Open Sans"/>
          <w:i/>
        </w:rPr>
        <w:t>Development for All</w:t>
      </w:r>
      <w:r w:rsidRPr="008B7C2D">
        <w:rPr>
          <w:rFonts w:cs="Open Sans"/>
        </w:rPr>
        <w:t>, Australia’s—and the world’s—first strategy for disability-inclusive international development has driven real achievements, including embedding disability inclusion as a crosscutting theme of Australia’s aid program;</w:t>
      </w:r>
      <w:hyperlink r:id="rId14" w:history="1">
        <w:r w:rsidRPr="008B7C2D">
          <w:rPr>
            <w:rStyle w:val="Hyperlink"/>
            <w:rFonts w:cs="Open Sans"/>
            <w:vertAlign w:val="superscript"/>
          </w:rPr>
          <w:endnoteReference w:id="6"/>
        </w:r>
      </w:hyperlink>
      <w:r w:rsidRPr="008B7C2D">
        <w:rPr>
          <w:rFonts w:cs="Open Sans"/>
        </w:rPr>
        <w:t xml:space="preserve"> establishing inclusive approaches to humanitarian response and disaster preparedness;</w:t>
      </w:r>
      <w:hyperlink r:id="rId15" w:history="1">
        <w:r w:rsidRPr="008B7C2D">
          <w:rPr>
            <w:rStyle w:val="Hyperlink"/>
            <w:rFonts w:cs="Open Sans"/>
            <w:vertAlign w:val="superscript"/>
          </w:rPr>
          <w:endnoteReference w:id="7"/>
        </w:r>
      </w:hyperlink>
      <w:r w:rsidRPr="008B7C2D">
        <w:rPr>
          <w:rFonts w:cs="Open Sans"/>
        </w:rPr>
        <w:t xml:space="preserve"> and facilitating high-level policy discussions through co-chairing the Global Action on Disability Network.</w:t>
      </w:r>
      <w:hyperlink r:id="rId16" w:history="1">
        <w:r w:rsidRPr="008B7C2D">
          <w:rPr>
            <w:rStyle w:val="Hyperlink"/>
            <w:rFonts w:cs="Open Sans"/>
            <w:vertAlign w:val="superscript"/>
          </w:rPr>
          <w:endnoteReference w:id="8"/>
        </w:r>
      </w:hyperlink>
    </w:p>
    <w:p w:rsidR="00942F8E" w:rsidRPr="008B7C2D" w:rsidRDefault="00942F8E" w:rsidP="00F23CDF">
      <w:pPr>
        <w:widowControl w:val="0"/>
        <w:spacing w:after="120"/>
        <w:jc w:val="both"/>
        <w:rPr>
          <w:rFonts w:cs="Open Sans"/>
        </w:rPr>
      </w:pPr>
      <w:r w:rsidRPr="008B7C2D">
        <w:rPr>
          <w:rFonts w:cs="Open Sans"/>
        </w:rPr>
        <w:t xml:space="preserve">The 2018 Office of Development Effectiveness (ODE) evaluation of implementation of </w:t>
      </w:r>
      <w:r w:rsidRPr="008B7C2D">
        <w:rPr>
          <w:rFonts w:cs="Open Sans"/>
          <w:i/>
        </w:rPr>
        <w:t>Development for All</w:t>
      </w:r>
      <w:r w:rsidRPr="008B7C2D">
        <w:rPr>
          <w:rFonts w:cs="Open Sans"/>
        </w:rPr>
        <w:t xml:space="preserve"> found that the aid program has made good progress in strengthening disability inclusion. This was attributed, in part, to enablers including dedicated funding for disability-inclusive development, which was described by evaluation respondents as ‘catalytic’</w:t>
      </w:r>
      <w:hyperlink r:id="rId17" w:history="1">
        <w:r w:rsidRPr="008B7C2D">
          <w:rPr>
            <w:rStyle w:val="Hyperlink"/>
            <w:rFonts w:cs="Open Sans"/>
            <w:vertAlign w:val="superscript"/>
          </w:rPr>
          <w:endnoteReference w:id="9"/>
        </w:r>
      </w:hyperlink>
      <w:r w:rsidRPr="008B7C2D">
        <w:rPr>
          <w:rFonts w:cs="Open Sans"/>
        </w:rPr>
        <w:t xml:space="preserve"> and a ‘key driver’</w:t>
      </w:r>
      <w:hyperlink r:id="rId18" w:history="1">
        <w:r w:rsidRPr="008B7C2D">
          <w:rPr>
            <w:rStyle w:val="Hyperlink"/>
            <w:rFonts w:cs="Open Sans"/>
            <w:vertAlign w:val="superscript"/>
          </w:rPr>
          <w:endnoteReference w:id="10"/>
        </w:r>
      </w:hyperlink>
      <w:r w:rsidRPr="008B7C2D">
        <w:rPr>
          <w:rFonts w:cs="Open Sans"/>
        </w:rPr>
        <w:t xml:space="preserve"> for effective inclusion practice. </w:t>
      </w:r>
    </w:p>
    <w:p w:rsidR="00942F8E" w:rsidRPr="008B7C2D" w:rsidRDefault="00942F8E" w:rsidP="00F23CDF">
      <w:pPr>
        <w:spacing w:after="120"/>
        <w:jc w:val="both"/>
        <w:rPr>
          <w:rFonts w:cs="Open Sans"/>
        </w:rPr>
      </w:pPr>
      <w:r w:rsidRPr="008B7C2D">
        <w:rPr>
          <w:rFonts w:cs="Open Sans"/>
          <w:lang w:bidi="en-US"/>
        </w:rPr>
        <w:t>The ODE evaluation also found that performance in disability-inclusive development was supported by access to expertise and technical assistance, both internal and external. The evaluation explicitly called for the Australian Government to ‘[build] DFAT’s internal technical capacity to support disability inclusion by significantly increasing the number of staff positions in the Disability Section in Canberra’.</w:t>
      </w:r>
      <w:hyperlink r:id="rId19" w:history="1">
        <w:r w:rsidRPr="008B7C2D">
          <w:rPr>
            <w:rStyle w:val="Hyperlink"/>
            <w:rFonts w:cs="Open Sans"/>
            <w:vertAlign w:val="superscript"/>
            <w:lang w:bidi="en-US"/>
          </w:rPr>
          <w:endnoteReference w:id="11"/>
        </w:r>
      </w:hyperlink>
      <w:r w:rsidRPr="008B7C2D">
        <w:rPr>
          <w:rFonts w:cs="Open Sans"/>
          <w:lang w:bidi="en-US"/>
        </w:rPr>
        <w:t xml:space="preserve"> While increased administered funds to support disability inclusion in the Australian aid program are critical, their correlation to outcomes in programs and policy depends on increased capacity to deliver targeted support, both in Canberra and at Posts.</w:t>
      </w:r>
    </w:p>
    <w:p w:rsidR="00942F8E" w:rsidRPr="008B7C2D" w:rsidRDefault="00942F8E" w:rsidP="00F23CDF">
      <w:pPr>
        <w:spacing w:after="120"/>
        <w:jc w:val="both"/>
        <w:rPr>
          <w:rFonts w:cs="Open Sans"/>
          <w:lang w:bidi="en-US"/>
        </w:rPr>
      </w:pPr>
      <w:r w:rsidRPr="008B7C2D">
        <w:rPr>
          <w:rFonts w:cs="Open Sans"/>
        </w:rPr>
        <w:t xml:space="preserve">The Australian Government’s work championing and being a global leader in disability-inclusive development </w:t>
      </w:r>
      <w:r>
        <w:rPr>
          <w:rFonts w:cs="Open Sans"/>
        </w:rPr>
        <w:t>in the</w:t>
      </w:r>
      <w:r w:rsidRPr="008B7C2D">
        <w:rPr>
          <w:rFonts w:cs="Open Sans"/>
        </w:rPr>
        <w:t xml:space="preserve"> past decade has been supported by key investments within the development program, which have returned significant results for minimal </w:t>
      </w:r>
      <w:r w:rsidRPr="00A13E4A">
        <w:rPr>
          <w:rFonts w:cs="Open Sans"/>
        </w:rPr>
        <w:t>expense.</w:t>
      </w:r>
      <w:r w:rsidRPr="008B7C2D">
        <w:rPr>
          <w:rFonts w:cs="Open Sans"/>
        </w:rPr>
        <w:t xml:space="preserve">  </w:t>
      </w:r>
      <w:r w:rsidRPr="008B7C2D">
        <w:rPr>
          <w:rFonts w:cs="Open Sans"/>
          <w:lang w:bidi="en-US"/>
        </w:rPr>
        <w:t>Despite these concerted efforts there is still much to be achieved. The UN Flagship Report on Disability and Development</w:t>
      </w:r>
      <w:hyperlink r:id="rId20" w:history="1">
        <w:r w:rsidRPr="008B7C2D">
          <w:rPr>
            <w:rStyle w:val="Hyperlink"/>
            <w:rFonts w:cs="Open Sans"/>
            <w:vertAlign w:val="superscript"/>
            <w:lang w:bidi="en-US"/>
          </w:rPr>
          <w:endnoteReference w:id="12"/>
        </w:r>
        <w:r w:rsidRPr="008B7C2D">
          <w:rPr>
            <w:rStyle w:val="Hyperlink"/>
            <w:rFonts w:cs="Open Sans"/>
            <w:lang w:bidi="en-US"/>
          </w:rPr>
          <w:t>,</w:t>
        </w:r>
      </w:hyperlink>
      <w:r w:rsidRPr="008B7C2D">
        <w:rPr>
          <w:rFonts w:cs="Open Sans"/>
          <w:lang w:bidi="en-US"/>
        </w:rPr>
        <w:t xml:space="preserve"> released late in 2018, found that people with disabilities are still disadvantaged compared with those without disabilities and as many as half of primary </w:t>
      </w:r>
      <w:r w:rsidRPr="008B7C2D">
        <w:rPr>
          <w:rFonts w:cs="Open Sans"/>
          <w:lang w:bidi="en-US"/>
        </w:rPr>
        <w:lastRenderedPageBreak/>
        <w:t>and lower secondary-school age children with disabilities in developing countries are out of school.</w:t>
      </w:r>
      <w:r w:rsidRPr="008B7C2D">
        <w:rPr>
          <w:rStyle w:val="EndnoteReference"/>
          <w:rFonts w:cs="Open Sans"/>
          <w:lang w:bidi="en-US"/>
        </w:rPr>
        <w:endnoteReference w:id="13"/>
      </w:r>
    </w:p>
    <w:p w:rsidR="00942F8E" w:rsidRPr="008B7C2D" w:rsidRDefault="00942F8E" w:rsidP="00F23CDF">
      <w:pPr>
        <w:spacing w:after="120"/>
        <w:jc w:val="both"/>
        <w:rPr>
          <w:rFonts w:cs="Open Sans"/>
        </w:rPr>
      </w:pPr>
      <w:r w:rsidRPr="008B7C2D">
        <w:rPr>
          <w:rFonts w:cs="Open Sans"/>
          <w:lang w:bidi="en-US"/>
        </w:rPr>
        <w:t>The Australian Government has previously committed the IDP to promoting disability-inclusive development and the rights of people with disabilities through the White Paper.</w:t>
      </w:r>
      <w:hyperlink r:id="rId21" w:history="1">
        <w:r w:rsidRPr="008B7C2D">
          <w:rPr>
            <w:rStyle w:val="Hyperlink"/>
            <w:rFonts w:cs="Open Sans"/>
            <w:vertAlign w:val="superscript"/>
            <w:lang w:bidi="en-US"/>
          </w:rPr>
          <w:endnoteReference w:id="14"/>
        </w:r>
      </w:hyperlink>
      <w:r w:rsidRPr="008B7C2D">
        <w:rPr>
          <w:rFonts w:cs="Open Sans"/>
          <w:lang w:bidi="en-US"/>
        </w:rPr>
        <w:t xml:space="preserve">  This coupled with Australia’s Article 32 and Article 11 responsibilities under the United Nations (UN) Convention on the Rights of Persons with Disabilities</w:t>
      </w:r>
      <w:hyperlink r:id="rId22" w:history="1">
        <w:r w:rsidRPr="008B7C2D">
          <w:rPr>
            <w:rStyle w:val="Hyperlink"/>
            <w:rFonts w:cs="Open Sans"/>
            <w:vertAlign w:val="superscript"/>
            <w:lang w:bidi="en-US"/>
          </w:rPr>
          <w:endnoteReference w:id="15"/>
        </w:r>
      </w:hyperlink>
      <w:r w:rsidRPr="008B7C2D">
        <w:rPr>
          <w:rFonts w:cs="Open Sans"/>
          <w:lang w:bidi="en-US"/>
        </w:rPr>
        <w:t xml:space="preserve"> requires the new IDP to include a targeted approach to ensuring disability inclusion.</w:t>
      </w:r>
    </w:p>
    <w:p w:rsidR="00942F8E" w:rsidRPr="008B7C2D" w:rsidRDefault="00942F8E" w:rsidP="00942F8E">
      <w:pPr>
        <w:widowControl w:val="0"/>
        <w:spacing w:after="120"/>
        <w:jc w:val="both"/>
        <w:rPr>
          <w:rFonts w:cs="Open Sans"/>
          <w:lang w:bidi="en-US"/>
        </w:rPr>
      </w:pPr>
      <w:r w:rsidRPr="008B7C2D">
        <w:rPr>
          <w:rFonts w:cs="Open Sans"/>
          <w:lang w:bidi="en-US"/>
        </w:rPr>
        <w:t xml:space="preserve">The Australian Government’s overarching and renewed commitment to the Pacific provides significant opportunities to support much-needed disability inclusion outcomes and showcase contemporary partnership approaches while asserting continued leadership in the region. </w:t>
      </w:r>
      <w:r w:rsidRPr="008B7C2D">
        <w:rPr>
          <w:rFonts w:cs="Open Sans"/>
        </w:rPr>
        <w:t xml:space="preserve">At present, an estimated average of 17 per cent of people in the Pacific </w:t>
      </w:r>
      <w:r>
        <w:rPr>
          <w:rFonts w:cs="Open Sans"/>
        </w:rPr>
        <w:t xml:space="preserve">have a </w:t>
      </w:r>
      <w:r w:rsidRPr="008B7C2D">
        <w:rPr>
          <w:rFonts w:cs="Open Sans"/>
        </w:rPr>
        <w:t>disability.</w:t>
      </w:r>
      <w:hyperlink r:id="rId23" w:history="1">
        <w:r w:rsidRPr="008B7C2D">
          <w:rPr>
            <w:rStyle w:val="Hyperlink"/>
            <w:rFonts w:cs="Open Sans"/>
            <w:vertAlign w:val="superscript"/>
          </w:rPr>
          <w:endnoteReference w:id="16"/>
        </w:r>
      </w:hyperlink>
      <w:r w:rsidRPr="008B7C2D">
        <w:rPr>
          <w:rFonts w:cs="Open Sans"/>
        </w:rPr>
        <w:t xml:space="preserve"> But many live without access to necessary services that can provide linkages to existing Australian aid investments, and more broadly support full and equal inclusion in community life. Through the </w:t>
      </w:r>
      <w:r w:rsidRPr="008B7C2D">
        <w:rPr>
          <w:rFonts w:cs="Open Sans"/>
          <w:i/>
        </w:rPr>
        <w:t>Pacific Framework for the Rights of Persons with Disabilities 2016-2025</w:t>
      </w:r>
      <w:r w:rsidRPr="008B7C2D">
        <w:rPr>
          <w:rFonts w:cs="Open Sans"/>
        </w:rPr>
        <w:t xml:space="preserve"> (PFRPD), Pacific governments have committed to action tied to priority themes of the SDGs, including livelihoods, social policy, leadership and enabling environments, disaster risk management, and strengthening available evidence.</w:t>
      </w:r>
      <w:hyperlink r:id="rId24" w:history="1">
        <w:r w:rsidRPr="008B7C2D">
          <w:rPr>
            <w:rStyle w:val="Hyperlink"/>
            <w:rFonts w:cs="Open Sans"/>
            <w:vertAlign w:val="superscript"/>
          </w:rPr>
          <w:endnoteReference w:id="17"/>
        </w:r>
      </w:hyperlink>
      <w:r w:rsidRPr="008B7C2D">
        <w:rPr>
          <w:rFonts w:cs="Open Sans"/>
        </w:rPr>
        <w:t xml:space="preserve"> However, there is a substantial role for influential donors in the region, such as the Australian Government, to support implementation and showcase innovative partnerships by developing a regional modality to better support national initiatives.</w:t>
      </w:r>
    </w:p>
    <w:p w:rsidR="00942F8E" w:rsidRPr="008B7C2D" w:rsidRDefault="00942F8E" w:rsidP="00942F8E">
      <w:pPr>
        <w:widowControl w:val="0"/>
        <w:pBdr>
          <w:top w:val="single" w:sz="4" w:space="1" w:color="C00000"/>
          <w:left w:val="single" w:sz="4" w:space="4" w:color="C00000"/>
          <w:bottom w:val="single" w:sz="4" w:space="1" w:color="C00000"/>
          <w:right w:val="single" w:sz="4" w:space="4" w:color="C00000"/>
        </w:pBdr>
        <w:spacing w:after="120"/>
        <w:jc w:val="both"/>
        <w:rPr>
          <w:rFonts w:cs="Open Sans"/>
          <w:i/>
          <w:lang w:bidi="en-US"/>
        </w:rPr>
      </w:pPr>
      <w:r w:rsidRPr="008B7C2D">
        <w:rPr>
          <w:rFonts w:cs="Open Sans"/>
          <w:b/>
          <w:color w:val="C00000"/>
          <w:lang w:bidi="en-US"/>
        </w:rPr>
        <w:t>Recommendation:</w:t>
      </w:r>
      <w:r w:rsidRPr="008B7C2D">
        <w:rPr>
          <w:rFonts w:cs="Open Sans"/>
          <w:b/>
          <w:color w:val="FF0000"/>
          <w:lang w:bidi="en-US"/>
        </w:rPr>
        <w:t xml:space="preserve"> </w:t>
      </w:r>
      <w:r w:rsidRPr="008B7C2D">
        <w:rPr>
          <w:rFonts w:cs="Open Sans"/>
          <w:lang w:bidi="en-US"/>
        </w:rPr>
        <w:t xml:space="preserve">Commit to, and implement, a third disability inclusive development strategy, incorporating all areas of the IDP, which champions Australia’s leadership, drives evidence and innovation on inclusion and embeds Australia’s catalytic role in influencing multilaterals, donors and governments on a global scale. Incorporate recommendations from </w:t>
      </w:r>
      <w:r w:rsidRPr="008B7C2D">
        <w:rPr>
          <w:rFonts w:cs="Open Sans"/>
          <w:i/>
          <w:lang w:bidi="en-US"/>
        </w:rPr>
        <w:t xml:space="preserve">Development for All: Evaluation of Progress Made </w:t>
      </w:r>
      <w:proofErr w:type="gramStart"/>
      <w:r w:rsidRPr="008B7C2D">
        <w:rPr>
          <w:rFonts w:cs="Open Sans"/>
          <w:i/>
          <w:lang w:bidi="en-US"/>
        </w:rPr>
        <w:t>In</w:t>
      </w:r>
      <w:proofErr w:type="gramEnd"/>
      <w:r w:rsidRPr="008B7C2D">
        <w:rPr>
          <w:rFonts w:cs="Open Sans"/>
          <w:i/>
          <w:lang w:bidi="en-US"/>
        </w:rPr>
        <w:t xml:space="preserve"> Strengthening Disability Inclusion in Australian Aid </w:t>
      </w:r>
      <w:r w:rsidRPr="008B7C2D">
        <w:rPr>
          <w:rFonts w:cs="Open Sans"/>
          <w:lang w:bidi="en-US"/>
        </w:rPr>
        <w:t>in the new strategy</w:t>
      </w:r>
      <w:r w:rsidRPr="008B7C2D">
        <w:rPr>
          <w:rFonts w:cs="Open Sans"/>
          <w:i/>
          <w:lang w:bidi="en-US"/>
        </w:rPr>
        <w:t>.</w:t>
      </w:r>
    </w:p>
    <w:p w:rsidR="00942F8E" w:rsidRPr="008B7C2D" w:rsidRDefault="00942F8E" w:rsidP="00942F8E">
      <w:pPr>
        <w:widowControl w:val="0"/>
        <w:pBdr>
          <w:top w:val="single" w:sz="4" w:space="1" w:color="C00000"/>
          <w:left w:val="single" w:sz="4" w:space="4" w:color="C00000"/>
          <w:bottom w:val="single" w:sz="4" w:space="1" w:color="C00000"/>
          <w:right w:val="single" w:sz="4" w:space="4" w:color="C00000"/>
        </w:pBdr>
        <w:spacing w:after="120"/>
        <w:jc w:val="both"/>
        <w:rPr>
          <w:rFonts w:cs="Open Sans"/>
          <w:lang w:bidi="en-US"/>
        </w:rPr>
      </w:pPr>
      <w:r w:rsidRPr="008B7C2D">
        <w:rPr>
          <w:rFonts w:cs="Open Sans"/>
          <w:b/>
          <w:color w:val="C00000"/>
          <w:lang w:bidi="en-US"/>
        </w:rPr>
        <w:t>Recommendation:</w:t>
      </w:r>
      <w:r w:rsidRPr="008B7C2D">
        <w:rPr>
          <w:rFonts w:cs="Open Sans"/>
          <w:color w:val="C00000"/>
          <w:lang w:bidi="en-US"/>
        </w:rPr>
        <w:t xml:space="preserve"> </w:t>
      </w:r>
      <w:r w:rsidRPr="008B7C2D">
        <w:rPr>
          <w:rFonts w:cs="Open Sans"/>
          <w:lang w:bidi="en-US"/>
        </w:rPr>
        <w:t xml:space="preserve">As a significant Pacific donor, influential development partner and good neighbour, commit to making implementation of the PFRPD a priority by allocating dedicated funds to supporting the implementation of the PFRPD, and mobilise other donors to contribute resources for this purpose. </w:t>
      </w:r>
    </w:p>
    <w:p w:rsidR="00942F8E" w:rsidRPr="008B7C2D" w:rsidRDefault="00942F8E" w:rsidP="00942F8E">
      <w:pPr>
        <w:pStyle w:val="Heading1"/>
        <w:rPr>
          <w:rFonts w:asciiTheme="minorHAnsi" w:hAnsiTheme="minorHAnsi"/>
        </w:rPr>
      </w:pPr>
      <w:r w:rsidRPr="008B7C2D">
        <w:rPr>
          <w:rFonts w:asciiTheme="minorHAnsi" w:hAnsiTheme="minorHAnsi"/>
        </w:rPr>
        <w:t>Investing in effectiveness through Civil Society Organisations (CSOs)</w:t>
      </w:r>
    </w:p>
    <w:p w:rsidR="00942F8E" w:rsidRPr="008B7C2D" w:rsidRDefault="00942F8E" w:rsidP="00942F8E">
      <w:pPr>
        <w:spacing w:after="120" w:line="259" w:lineRule="auto"/>
        <w:jc w:val="both"/>
        <w:rPr>
          <w:rFonts w:cs="Open Sans"/>
          <w:lang w:bidi="en-US"/>
        </w:rPr>
      </w:pPr>
      <w:r w:rsidRPr="008B7C2D">
        <w:rPr>
          <w:rFonts w:cs="Open Sans"/>
        </w:rPr>
        <w:t xml:space="preserve">A </w:t>
      </w:r>
      <w:r w:rsidRPr="008B7C2D">
        <w:rPr>
          <w:rFonts w:cs="Open Sans"/>
          <w:lang w:bidi="en-US"/>
        </w:rPr>
        <w:t>new IDP requires new approaches to partnerships reflecting the Busan Principles</w:t>
      </w:r>
      <w:hyperlink r:id="rId25" w:history="1">
        <w:r w:rsidRPr="008B7C2D">
          <w:rPr>
            <w:rStyle w:val="Hyperlink"/>
            <w:rFonts w:cs="Open Sans"/>
            <w:vertAlign w:val="superscript"/>
            <w:lang w:bidi="en-US"/>
          </w:rPr>
          <w:endnoteReference w:id="18"/>
        </w:r>
      </w:hyperlink>
      <w:r w:rsidRPr="008B7C2D">
        <w:rPr>
          <w:rFonts w:cs="Open Sans"/>
          <w:lang w:bidi="en-US"/>
        </w:rPr>
        <w:t xml:space="preserve"> of inclusivity, mutual respect, empowerment and mutual benefits for all partners. An essential part of this is recognition of CSOs as key contributors in development partnerships, drawing on their extensive knowledge and capacity in policy issues, local relationships and knowledge and research to enhance Australia’s development cooperation. A responsive and innovative IDP prioritises new civil society projects and increased funding for Global NGO Programs. It looks to provide long term, flexible assistance for civil society strengthening through country and regional programs to ensure that the most marginalised and the poorest in communities are engaged. </w:t>
      </w:r>
    </w:p>
    <w:p w:rsidR="00942F8E" w:rsidRPr="008B7C2D" w:rsidRDefault="00942F8E" w:rsidP="00942F8E">
      <w:pPr>
        <w:pStyle w:val="ListParagraph"/>
        <w:widowControl w:val="0"/>
        <w:tabs>
          <w:tab w:val="left" w:pos="1485"/>
        </w:tabs>
        <w:spacing w:after="120" w:line="259" w:lineRule="auto"/>
        <w:ind w:left="0"/>
        <w:jc w:val="both"/>
        <w:rPr>
          <w:rFonts w:cs="Open Sans"/>
          <w:lang w:bidi="en-US"/>
        </w:rPr>
      </w:pPr>
      <w:r w:rsidRPr="008B7C2D">
        <w:rPr>
          <w:rFonts w:cs="Open Sans"/>
          <w:lang w:bidi="en-US"/>
        </w:rPr>
        <w:t>Australia’s new IDP should showcase partnerships characterised by local leadership, trusted relationships and co-designed objectives. The Australian Government will then be well placed to work alongside country-partners and delivery partners to build diverse and successful partnerships. The new Australian IDP will shift away from a focus on partners as delivery contractors to diversify its relationships, respect south-south assistance, prioritise local delivery partners, and work to develop and maintain flexible partnerships open to inclusion and local adaptation.</w:t>
      </w:r>
    </w:p>
    <w:p w:rsidR="00942F8E" w:rsidRPr="008B7C2D" w:rsidRDefault="00942F8E" w:rsidP="00942F8E">
      <w:pPr>
        <w:jc w:val="both"/>
        <w:rPr>
          <w:rFonts w:cs="Open Sans"/>
          <w:lang w:bidi="en-US"/>
        </w:rPr>
      </w:pPr>
      <w:r w:rsidRPr="008B7C2D">
        <w:rPr>
          <w:rFonts w:cs="Open Sans"/>
          <w:lang w:bidi="en-US"/>
        </w:rPr>
        <w:lastRenderedPageBreak/>
        <w:t>In mapping those regional and global organisations of the greatest strategic importance for our policy objectives, the Australian Government should not confine disability inclusion to representative Disabled People’s Organisation (DPO) engagement and broader disability inclusion to disability-specific fora. In order to build inclusive partnerships and embed the contributions of DPOs, particular efforts should be made to support their engagement in more ‘mainstream’ platforms in which Australia is engaged. This will not only amplify the voices of people with disabilities, but will support them to access newer stages and challenge newer audiences for broader development policy change.</w:t>
      </w:r>
    </w:p>
    <w:p w:rsidR="00942F8E" w:rsidRPr="008B7C2D" w:rsidRDefault="00942F8E" w:rsidP="00942F8E">
      <w:pPr>
        <w:jc w:val="both"/>
      </w:pPr>
      <w:r w:rsidRPr="008B7C2D">
        <w:rPr>
          <w:rFonts w:cs="Open Sans"/>
          <w:lang w:bidi="en-US"/>
        </w:rPr>
        <w:t>The White Paper recognises NGOs as vital partners in efforts to encourage greater stability in our region. Despite NGOs out performing multilateral organisations</w:t>
      </w:r>
      <w:hyperlink r:id="rId26" w:history="1">
        <w:r w:rsidRPr="008B7C2D">
          <w:rPr>
            <w:rStyle w:val="Hyperlink"/>
            <w:vertAlign w:val="superscript"/>
          </w:rPr>
          <w:endnoteReference w:id="19"/>
        </w:r>
      </w:hyperlink>
      <w:r w:rsidRPr="008B7C2D">
        <w:t xml:space="preserve"> </w:t>
      </w:r>
      <w:r w:rsidRPr="008B7C2D">
        <w:rPr>
          <w:rFonts w:cs="Open Sans"/>
          <w:lang w:bidi="en-US"/>
        </w:rPr>
        <w:t>and a commitment to NGOs and civil soc</w:t>
      </w:r>
      <w:r>
        <w:rPr>
          <w:rFonts w:cs="Open Sans"/>
          <w:lang w:bidi="en-US"/>
        </w:rPr>
        <w:t>iety within the Foreign Policy W</w:t>
      </w:r>
      <w:r w:rsidRPr="008B7C2D">
        <w:rPr>
          <w:rFonts w:cs="Open Sans"/>
          <w:lang w:bidi="en-US"/>
        </w:rPr>
        <w:t xml:space="preserve">hite </w:t>
      </w:r>
      <w:r>
        <w:rPr>
          <w:rFonts w:cs="Open Sans"/>
          <w:lang w:bidi="en-US"/>
        </w:rPr>
        <w:t>P</w:t>
      </w:r>
      <w:r w:rsidRPr="008B7C2D">
        <w:rPr>
          <w:rFonts w:cs="Open Sans"/>
          <w:lang w:bidi="en-US"/>
        </w:rPr>
        <w:t>aper and current policy, Australian Government funding to and through civil society organisation has decreased.  This goes against the general trend of an increase in OECD countries</w:t>
      </w:r>
      <w:r w:rsidRPr="008B7C2D">
        <w:t>.</w:t>
      </w:r>
      <w:hyperlink r:id="rId27" w:history="1">
        <w:r w:rsidRPr="008B7C2D">
          <w:rPr>
            <w:rStyle w:val="Hyperlink"/>
            <w:vertAlign w:val="superscript"/>
          </w:rPr>
          <w:endnoteReference w:id="20"/>
        </w:r>
      </w:hyperlink>
      <w:r w:rsidRPr="008B7C2D">
        <w:t xml:space="preserve"> </w:t>
      </w:r>
    </w:p>
    <w:p w:rsidR="00942F8E" w:rsidRPr="008B7C2D" w:rsidRDefault="00942F8E" w:rsidP="00942F8E">
      <w:pPr>
        <w:jc w:val="both"/>
        <w:rPr>
          <w:rFonts w:cs="Open Sans"/>
          <w:lang w:bidi="en-US"/>
        </w:rPr>
      </w:pPr>
      <w:r w:rsidRPr="008B7C2D">
        <w:rPr>
          <w:rFonts w:cs="Open Sans"/>
          <w:lang w:bidi="en-US"/>
        </w:rPr>
        <w:t>The Australian NGO Cooperation Program (ANCP) has, since its inception, proven itself to be among the Australian aid program’s most effective investments. It extends the reach of Australian aid to beneficiaries beyond the footprint of DFAT’s bilateral aid programs and enables NGOs to deliver effective development activities from the grass roots through to the institutional and policy levels</w:t>
      </w:r>
      <w:r w:rsidRPr="008B7C2D">
        <w:rPr>
          <w:rFonts w:cs="ITC Franklin Gothic Book"/>
          <w:color w:val="000000"/>
          <w:sz w:val="20"/>
          <w:szCs w:val="20"/>
        </w:rPr>
        <w:t>.</w:t>
      </w:r>
      <w:hyperlink r:id="rId28" w:history="1">
        <w:r w:rsidRPr="008B7C2D">
          <w:rPr>
            <w:rStyle w:val="Hyperlink"/>
            <w:rFonts w:cs="ITC Franklin Gothic Book"/>
            <w:sz w:val="20"/>
            <w:szCs w:val="20"/>
            <w:vertAlign w:val="superscript"/>
          </w:rPr>
          <w:endnoteReference w:id="21"/>
        </w:r>
      </w:hyperlink>
      <w:r w:rsidRPr="008B7C2D">
        <w:rPr>
          <w:rFonts w:cs="Open Sans"/>
          <w:lang w:bidi="en-US"/>
        </w:rPr>
        <w:t xml:space="preserve">It delivers strongly on results; in 2013–14 ANCP represented around 2.7 per cent of the aid budget and delivered 18.2 per cent of outputs reported in the Department’s aggregate development results. </w:t>
      </w:r>
    </w:p>
    <w:p w:rsidR="00942F8E" w:rsidRPr="008B7C2D" w:rsidRDefault="00942F8E" w:rsidP="00942F8E">
      <w:pPr>
        <w:jc w:val="both"/>
        <w:rPr>
          <w:rFonts w:cs="Open Sans"/>
          <w:sz w:val="12"/>
          <w:szCs w:val="12"/>
          <w:lang w:bidi="en-US"/>
        </w:rPr>
      </w:pPr>
      <w:r w:rsidRPr="008B7C2D">
        <w:rPr>
          <w:rFonts w:cs="Open Sans"/>
          <w:lang w:bidi="en-US"/>
        </w:rPr>
        <w:t>The ANCP acknowledges the unique strengths that NGOs bring to development activities, which both complement and strengthen Australia's overall aid efforts.  In reporting its progress against the SDGs, the Australian Government cited ANCP initiatives as evidence of Australia’s commitment and performance in prioritising equality and inclusion.</w:t>
      </w:r>
      <w:hyperlink r:id="rId29" w:history="1">
        <w:r w:rsidRPr="008B7C2D">
          <w:rPr>
            <w:rStyle w:val="Hyperlink"/>
            <w:rFonts w:cs="Open Sans"/>
            <w:vertAlign w:val="superscript"/>
            <w:lang w:bidi="en-US"/>
          </w:rPr>
          <w:endnoteReference w:id="22"/>
        </w:r>
      </w:hyperlink>
      <w:r w:rsidRPr="008B7C2D">
        <w:rPr>
          <w:rFonts w:cs="Open Sans"/>
          <w:lang w:bidi="en-US"/>
        </w:rPr>
        <w:t xml:space="preserve">  </w:t>
      </w:r>
      <w:r w:rsidRPr="008B7C2D">
        <w:rPr>
          <w:rFonts w:cs="Open Sans"/>
          <w:sz w:val="12"/>
          <w:szCs w:val="12"/>
          <w:lang w:bidi="en-US"/>
        </w:rPr>
        <w:t xml:space="preserve"> </w:t>
      </w:r>
    </w:p>
    <w:p w:rsidR="00942F8E" w:rsidRPr="008B7C2D" w:rsidRDefault="00942F8E" w:rsidP="00942F8E">
      <w:pPr>
        <w:pStyle w:val="ListParagraph"/>
        <w:widowControl w:val="0"/>
        <w:pBdr>
          <w:top w:val="single" w:sz="4" w:space="1" w:color="C00000"/>
          <w:left w:val="single" w:sz="4" w:space="4" w:color="C00000"/>
          <w:bottom w:val="single" w:sz="4" w:space="1" w:color="C00000"/>
          <w:right w:val="single" w:sz="4" w:space="4" w:color="C00000"/>
        </w:pBdr>
        <w:spacing w:after="120" w:line="259" w:lineRule="auto"/>
        <w:ind w:left="0"/>
        <w:jc w:val="both"/>
        <w:rPr>
          <w:rFonts w:cs="Open Sans"/>
          <w:lang w:bidi="en-US"/>
        </w:rPr>
      </w:pPr>
      <w:r w:rsidRPr="008B7C2D">
        <w:rPr>
          <w:rFonts w:cs="Open Sans"/>
          <w:b/>
          <w:color w:val="C00000"/>
          <w:lang w:bidi="en-US"/>
        </w:rPr>
        <w:t>Recommendation:</w:t>
      </w:r>
      <w:r w:rsidRPr="008B7C2D">
        <w:rPr>
          <w:rFonts w:cs="Open Sans"/>
          <w:color w:val="C00000"/>
          <w:lang w:bidi="en-US"/>
        </w:rPr>
        <w:t xml:space="preserve"> </w:t>
      </w:r>
      <w:r w:rsidRPr="008B7C2D">
        <w:rPr>
          <w:rFonts w:cs="Open Sans"/>
        </w:rPr>
        <w:t xml:space="preserve">With ANCP projects held up as examples of Australian best practice in achieving impact, increase the Australian Government’s financial investment in the program.  This investment would form a core component of a commitment to </w:t>
      </w:r>
      <w:r w:rsidRPr="008B7C2D">
        <w:rPr>
          <w:rFonts w:cs="Open Sans"/>
          <w:lang w:bidi="en-US"/>
        </w:rPr>
        <w:t xml:space="preserve">Official Development Assistance (ODA) </w:t>
      </w:r>
      <w:r w:rsidRPr="008B7C2D">
        <w:rPr>
          <w:rFonts w:cs="Open Sans"/>
        </w:rPr>
        <w:t>expenditure, invested through Civil Society Organisations, increasing to 20 per cent, up from current levels of 11 per cent.</w:t>
      </w:r>
    </w:p>
    <w:p w:rsidR="00942F8E" w:rsidRPr="008B7C2D" w:rsidRDefault="00942F8E" w:rsidP="00942F8E">
      <w:pPr>
        <w:pStyle w:val="Heading1"/>
        <w:rPr>
          <w:rFonts w:asciiTheme="minorHAnsi" w:hAnsiTheme="minorHAnsi"/>
        </w:rPr>
      </w:pPr>
      <w:r w:rsidRPr="008B7C2D">
        <w:rPr>
          <w:rFonts w:asciiTheme="minorHAnsi" w:hAnsiTheme="minorHAnsi"/>
        </w:rPr>
        <w:t>Investing in</w:t>
      </w:r>
      <w:r>
        <w:rPr>
          <w:rFonts w:asciiTheme="minorHAnsi" w:hAnsiTheme="minorHAnsi"/>
        </w:rPr>
        <w:t xml:space="preserve"> a performance f</w:t>
      </w:r>
      <w:r w:rsidRPr="008B7C2D">
        <w:rPr>
          <w:rFonts w:asciiTheme="minorHAnsi" w:hAnsiTheme="minorHAnsi"/>
        </w:rPr>
        <w:t>ramework for</w:t>
      </w:r>
      <w:r>
        <w:rPr>
          <w:rFonts w:asciiTheme="minorHAnsi" w:hAnsiTheme="minorHAnsi"/>
        </w:rPr>
        <w:t xml:space="preserve"> transparency and d</w:t>
      </w:r>
      <w:r w:rsidRPr="008B7C2D">
        <w:rPr>
          <w:rFonts w:asciiTheme="minorHAnsi" w:hAnsiTheme="minorHAnsi"/>
        </w:rPr>
        <w:t xml:space="preserve">isaggregation </w:t>
      </w:r>
    </w:p>
    <w:p w:rsidR="00942F8E" w:rsidRPr="008B7C2D" w:rsidRDefault="00942F8E" w:rsidP="00942F8E">
      <w:pPr>
        <w:spacing w:after="120"/>
        <w:jc w:val="both"/>
        <w:rPr>
          <w:rFonts w:cs="Open Sans"/>
          <w:lang w:bidi="en-US"/>
        </w:rPr>
      </w:pPr>
      <w:r w:rsidRPr="008B7C2D">
        <w:rPr>
          <w:rFonts w:cs="Open Sans"/>
          <w:lang w:bidi="en-US"/>
        </w:rPr>
        <w:t xml:space="preserve">A new Performance Framework needs to ensure the IDP remains internationally credible, showcases Australian impact and progress and integrates with international standards and norms. International statutes like </w:t>
      </w:r>
      <w:r w:rsidRPr="008B7C2D">
        <w:rPr>
          <w:rFonts w:cs="Open Sans"/>
        </w:rPr>
        <w:t>ODA</w:t>
      </w:r>
      <w:r w:rsidRPr="008B7C2D" w:rsidDel="00B934B3">
        <w:rPr>
          <w:rFonts w:cs="Open Sans"/>
          <w:lang w:bidi="en-US"/>
        </w:rPr>
        <w:t xml:space="preserve"> </w:t>
      </w:r>
      <w:r>
        <w:rPr>
          <w:rFonts w:cs="Open Sans"/>
          <w:lang w:bidi="en-US"/>
        </w:rPr>
        <w:t>and UN indicators are among</w:t>
      </w:r>
      <w:r w:rsidRPr="008B7C2D">
        <w:rPr>
          <w:rFonts w:cs="Open Sans"/>
          <w:lang w:bidi="en-US"/>
        </w:rPr>
        <w:t xml:space="preserve"> the gold standard for creating sustainable, long-term change for the poorest and should be used as a benchmark for all Australia’s development efforts and as key measures of transparency for development partnerships. Any changes and improvements to the performance framework need to ensure Australia returns to a consistently high ranking on the Aid Transparency Index and enables comparison internationally.</w:t>
      </w:r>
    </w:p>
    <w:p w:rsidR="00942F8E" w:rsidRPr="008B7C2D" w:rsidRDefault="00942F8E" w:rsidP="00942F8E">
      <w:pPr>
        <w:widowControl w:val="0"/>
        <w:spacing w:after="120"/>
        <w:jc w:val="both"/>
        <w:rPr>
          <w:rFonts w:cs="Open Sans"/>
          <w:lang w:bidi="en-US"/>
        </w:rPr>
      </w:pPr>
      <w:r w:rsidRPr="008B7C2D">
        <w:rPr>
          <w:rFonts w:cs="Open Sans"/>
          <w:lang w:bidi="en-US"/>
        </w:rPr>
        <w:t>In an IDP where disability inclusion is a cross-cutting theme</w:t>
      </w:r>
      <w:r>
        <w:rPr>
          <w:rFonts w:cs="Open Sans"/>
          <w:lang w:bidi="en-US"/>
        </w:rPr>
        <w:t>,</w:t>
      </w:r>
      <w:r w:rsidRPr="008B7C2D">
        <w:rPr>
          <w:rFonts w:cs="Open Sans"/>
          <w:lang w:bidi="en-US"/>
        </w:rPr>
        <w:t xml:space="preserve"> it is important to ensure that the accompanying Performance Framework is also inclusive and designed to capture progress towards ensuring ‘No One Is Left Behind’. Evidence-based data on people with disabilities is instrumental in supporting policymakers to address gaps and amend existing policies and regulations to address their needs. </w:t>
      </w:r>
      <w:r>
        <w:rPr>
          <w:sz w:val="23"/>
          <w:szCs w:val="23"/>
        </w:rPr>
        <w:t xml:space="preserve">This framework should include an ambitious and time-bound target for a percentage of investments to be rated ‘satisfactory’ against disability </w:t>
      </w:r>
      <w:r>
        <w:rPr>
          <w:sz w:val="23"/>
          <w:szCs w:val="23"/>
        </w:rPr>
        <w:lastRenderedPageBreak/>
        <w:t xml:space="preserve">inclusion across the whole international development program, and specific disability inclusion targets for each of the international development program’s thematic areas. </w:t>
      </w:r>
    </w:p>
    <w:p w:rsidR="00942F8E" w:rsidRPr="008B7C2D" w:rsidRDefault="00942F8E" w:rsidP="00942F8E">
      <w:pPr>
        <w:spacing w:after="120"/>
        <w:jc w:val="both"/>
        <w:rPr>
          <w:rFonts w:cs="Open Sans"/>
          <w:lang w:bidi="en-US"/>
        </w:rPr>
      </w:pPr>
      <w:r w:rsidRPr="008B7C2D">
        <w:rPr>
          <w:rFonts w:cs="Open Sans"/>
          <w:lang w:bidi="en-US"/>
        </w:rPr>
        <w:t>People with disabilities are among those furthest behind and, accordingly, the SDGs and their indicators clearly state that disaggregated data is needed to monitor advancement in the implementation of the goals. The SDGs</w:t>
      </w:r>
      <w:r>
        <w:rPr>
          <w:rFonts w:cs="Open Sans"/>
          <w:lang w:bidi="en-US"/>
        </w:rPr>
        <w:t xml:space="preserve"> Report 2017 states:</w:t>
      </w:r>
      <w:r w:rsidRPr="008B7C2D">
        <w:rPr>
          <w:rFonts w:cs="Open Sans"/>
          <w:lang w:bidi="en-US"/>
        </w:rPr>
        <w:t xml:space="preserve"> ‘a lack of rigorous evidence and comprehensive data has long compromised the ability of governments and the international community to accurately document the discrimination faced by various groups. As a result, planning and budgeting for necessary services along with effective policymaking have suffered. Persons with disabilities, for example, have largely fallen off the statistical “map”.’</w:t>
      </w:r>
      <w:hyperlink r:id="rId30" w:history="1">
        <w:r w:rsidRPr="008B7C2D">
          <w:rPr>
            <w:rStyle w:val="Hyperlink"/>
            <w:rFonts w:cs="Open Sans"/>
            <w:vertAlign w:val="superscript"/>
            <w:lang w:bidi="en-US"/>
          </w:rPr>
          <w:endnoteReference w:id="23"/>
        </w:r>
      </w:hyperlink>
    </w:p>
    <w:p w:rsidR="00942F8E" w:rsidRPr="008B7C2D" w:rsidRDefault="00942F8E" w:rsidP="00942F8E">
      <w:pPr>
        <w:widowControl w:val="0"/>
        <w:spacing w:after="120"/>
        <w:jc w:val="both"/>
        <w:rPr>
          <w:rFonts w:cs="Open Sans"/>
          <w:lang w:bidi="en-US"/>
        </w:rPr>
      </w:pPr>
      <w:r w:rsidRPr="008B7C2D">
        <w:rPr>
          <w:rFonts w:cs="Open Sans"/>
          <w:lang w:bidi="en-US"/>
        </w:rPr>
        <w:t>Several key areas within the international development program currently lag on disability inclusion. These include</w:t>
      </w:r>
      <w:r>
        <w:rPr>
          <w:rFonts w:cs="Open Sans"/>
          <w:lang w:bidi="en-US"/>
        </w:rPr>
        <w:t xml:space="preserve"> </w:t>
      </w:r>
      <w:r w:rsidRPr="008B7C2D">
        <w:rPr>
          <w:rFonts w:cs="Open Sans"/>
          <w:lang w:bidi="en-US"/>
        </w:rPr>
        <w:t>agriculture, fisheries and water, infrastructure and aid for trade. In 2017-18 the percentage of investment rates of disability-inclusive in Aid Quality Checks</w:t>
      </w:r>
      <w:r>
        <w:rPr>
          <w:rFonts w:cs="Open Sans"/>
          <w:lang w:bidi="en-US"/>
        </w:rPr>
        <w:t xml:space="preserve"> </w:t>
      </w:r>
      <w:r w:rsidRPr="008B7C2D">
        <w:rPr>
          <w:rFonts w:cs="Open Sans"/>
          <w:lang w:bidi="en-US"/>
        </w:rPr>
        <w:t>was 40 percent.</w:t>
      </w:r>
      <w:hyperlink r:id="rId31" w:history="1">
        <w:r w:rsidRPr="008B7C2D">
          <w:rPr>
            <w:rStyle w:val="Hyperlink"/>
            <w:rFonts w:cs="Open Sans"/>
            <w:vertAlign w:val="superscript"/>
            <w:lang w:bidi="en-US"/>
          </w:rPr>
          <w:endnoteReference w:id="24"/>
        </w:r>
      </w:hyperlink>
      <w:r w:rsidRPr="008B7C2D">
        <w:rPr>
          <w:rFonts w:cs="Open Sans"/>
          <w:lang w:bidi="en-US"/>
        </w:rPr>
        <w:t xml:space="preserve">  In the aforementioned key areas, the percentage was well below average at less than 30 per cent, and less than 20 per cent for infrastructure.  A target to drive improved performance in disability inclusion is an important step in meaningfully addressing poverty reduction and inclusion.</w:t>
      </w:r>
    </w:p>
    <w:p w:rsidR="00942F8E" w:rsidRPr="008B7C2D" w:rsidRDefault="00942F8E" w:rsidP="00942F8E">
      <w:pPr>
        <w:spacing w:after="120"/>
        <w:jc w:val="both"/>
        <w:rPr>
          <w:rFonts w:cs="Open Sans"/>
          <w:lang w:bidi="en-US"/>
        </w:rPr>
      </w:pPr>
      <w:r w:rsidRPr="008B7C2D">
        <w:rPr>
          <w:rFonts w:cs="Open Sans"/>
          <w:lang w:bidi="en-US"/>
        </w:rPr>
        <w:t>While this target will drive greater inclusion efforts, it cannot stand alone if it is to create meaningful outcomes for the one in five people living with disabilities in developing countries.  To support the meaningful implementation of a disability inclusion target</w:t>
      </w:r>
      <w:r>
        <w:rPr>
          <w:rFonts w:cs="Open Sans"/>
          <w:lang w:bidi="en-US"/>
        </w:rPr>
        <w:t>,</w:t>
      </w:r>
      <w:r w:rsidRPr="008B7C2D">
        <w:rPr>
          <w:rFonts w:cs="Open Sans"/>
          <w:lang w:bidi="en-US"/>
        </w:rPr>
        <w:t xml:space="preserve"> DFAT staff and funded organisations will require fit for purpose guidance and processes to ensure they can accurately reflect and report on disability inclusion. </w:t>
      </w:r>
    </w:p>
    <w:p w:rsidR="00942F8E" w:rsidRPr="008B7C2D" w:rsidRDefault="00942F8E" w:rsidP="00942F8E">
      <w:pPr>
        <w:widowControl w:val="0"/>
        <w:pBdr>
          <w:top w:val="single" w:sz="4" w:space="1" w:color="C00000"/>
          <w:left w:val="single" w:sz="4" w:space="4" w:color="C00000"/>
          <w:bottom w:val="single" w:sz="4" w:space="1" w:color="C00000"/>
          <w:right w:val="single" w:sz="4" w:space="4" w:color="C00000"/>
        </w:pBdr>
        <w:spacing w:after="120"/>
        <w:jc w:val="both"/>
        <w:rPr>
          <w:rFonts w:cs="Open Sans"/>
          <w:lang w:bidi="en-US"/>
        </w:rPr>
      </w:pPr>
      <w:r w:rsidRPr="008B7C2D">
        <w:rPr>
          <w:rFonts w:cs="Open Sans"/>
          <w:b/>
          <w:color w:val="C00000"/>
          <w:lang w:bidi="en-US"/>
        </w:rPr>
        <w:t>Recommendation:</w:t>
      </w:r>
      <w:r w:rsidRPr="008B7C2D">
        <w:rPr>
          <w:rFonts w:cs="Open Sans"/>
          <w:color w:val="C00000"/>
          <w:lang w:bidi="en-US"/>
        </w:rPr>
        <w:t xml:space="preserve"> </w:t>
      </w:r>
      <w:r w:rsidRPr="008B7C2D">
        <w:rPr>
          <w:rFonts w:cs="Open Sans"/>
          <w:lang w:bidi="en-US"/>
        </w:rPr>
        <w:t>To ensure improved performance, introduce a revised Performance Framework that includes clearly defined and measurable targets to accompany the new IDP. This framework should include an ambitious and time-bound target for a percentage of investments to be rated ‘satisfactory’ against disability inclusion across the whole international development program, and specific disability inclusion targets for each of the international development program’s thematic areas.</w:t>
      </w:r>
    </w:p>
    <w:p w:rsidR="00942F8E" w:rsidRPr="008B7C2D" w:rsidRDefault="00942F8E" w:rsidP="00942F8E">
      <w:pPr>
        <w:pStyle w:val="Heading1"/>
        <w:rPr>
          <w:rFonts w:asciiTheme="minorHAnsi" w:hAnsiTheme="minorHAnsi"/>
        </w:rPr>
      </w:pPr>
      <w:r w:rsidRPr="008B7C2D">
        <w:rPr>
          <w:rFonts w:asciiTheme="minorHAnsi" w:hAnsiTheme="minorHAnsi"/>
        </w:rPr>
        <w:t>About CBM Australia</w:t>
      </w:r>
    </w:p>
    <w:p w:rsidR="00942F8E" w:rsidRPr="008B7C2D" w:rsidRDefault="00942F8E" w:rsidP="00942F8E">
      <w:pPr>
        <w:spacing w:after="0"/>
        <w:jc w:val="both"/>
        <w:rPr>
          <w:rFonts w:cs="Open Sans"/>
          <w:lang w:bidi="en-US"/>
        </w:rPr>
      </w:pPr>
      <w:r w:rsidRPr="008B7C2D">
        <w:rPr>
          <w:rFonts w:cs="Open Sans"/>
          <w:lang w:bidi="en-US"/>
        </w:rPr>
        <w:t xml:space="preserve">CBM Australia is a Christian international development agency, committed to improving the quality of life of people with disabilities in the poorest places in the world. In 2019, CBM Australia supported field projects in 11 countries and supported partners including governments, multilateral organisations, non-government organisations and DPOs in 18 countries. </w:t>
      </w:r>
    </w:p>
    <w:p w:rsidR="00942F8E" w:rsidRPr="008B7C2D" w:rsidRDefault="00942F8E" w:rsidP="00942F8E">
      <w:pPr>
        <w:spacing w:after="0"/>
        <w:jc w:val="both"/>
        <w:rPr>
          <w:rFonts w:cs="Open Sans"/>
          <w:lang w:bidi="en-US"/>
        </w:rPr>
      </w:pPr>
    </w:p>
    <w:p w:rsidR="00942F8E" w:rsidRDefault="00942F8E" w:rsidP="00942F8E">
      <w:pPr>
        <w:spacing w:after="0"/>
        <w:jc w:val="both"/>
        <w:rPr>
          <w:rFonts w:cs="Open Sans"/>
          <w:lang w:bidi="en-US"/>
        </w:rPr>
      </w:pPr>
      <w:r w:rsidRPr="008B7C2D">
        <w:rPr>
          <w:rFonts w:cs="Open Sans"/>
          <w:lang w:bidi="en-US"/>
        </w:rPr>
        <w:t>CBM Australia is proud to have a partnership with the Department of Foreign Affairs and Trade (DFAT) as part of the Australian NGO Cooperation Program (ANCP), and is a member of the Australian Council for International Development.</w:t>
      </w:r>
    </w:p>
    <w:p w:rsidR="00942F8E" w:rsidRDefault="00942F8E" w:rsidP="00942F8E">
      <w:pPr>
        <w:spacing w:after="0"/>
        <w:jc w:val="both"/>
        <w:rPr>
          <w:rFonts w:cs="Open Sans"/>
          <w:lang w:bidi="en-US"/>
        </w:rPr>
      </w:pPr>
    </w:p>
    <w:p w:rsidR="00942F8E" w:rsidRDefault="00942F8E" w:rsidP="00942F8E">
      <w:pPr>
        <w:spacing w:after="0"/>
        <w:jc w:val="both"/>
        <w:rPr>
          <w:rFonts w:cs="Open Sans"/>
          <w:lang w:bidi="en-US"/>
        </w:rPr>
      </w:pPr>
    </w:p>
    <w:p w:rsidR="00942F8E" w:rsidRDefault="00942F8E" w:rsidP="00942F8E">
      <w:pPr>
        <w:spacing w:after="0"/>
        <w:jc w:val="both"/>
        <w:rPr>
          <w:rFonts w:cs="Open Sans"/>
          <w:lang w:bidi="en-US"/>
        </w:rPr>
      </w:pPr>
    </w:p>
    <w:p w:rsidR="0069366A" w:rsidRDefault="0069366A" w:rsidP="00942F8E">
      <w:pPr>
        <w:spacing w:after="0"/>
        <w:jc w:val="both"/>
        <w:rPr>
          <w:rFonts w:cs="Open Sans"/>
          <w:lang w:bidi="en-US"/>
        </w:rPr>
      </w:pPr>
    </w:p>
    <w:p w:rsidR="0069366A" w:rsidRDefault="0069366A" w:rsidP="00942F8E">
      <w:pPr>
        <w:spacing w:after="0"/>
        <w:jc w:val="both"/>
        <w:rPr>
          <w:rFonts w:cs="Open Sans"/>
          <w:lang w:bidi="en-US"/>
        </w:rPr>
      </w:pPr>
    </w:p>
    <w:p w:rsidR="0069366A" w:rsidRDefault="0069366A" w:rsidP="00942F8E">
      <w:pPr>
        <w:spacing w:after="0"/>
        <w:jc w:val="both"/>
        <w:rPr>
          <w:rFonts w:cs="Open Sans"/>
          <w:lang w:bidi="en-US"/>
        </w:rPr>
      </w:pPr>
    </w:p>
    <w:p w:rsidR="00942F8E" w:rsidRPr="008B7C2D" w:rsidRDefault="00942F8E" w:rsidP="00942F8E">
      <w:pPr>
        <w:spacing w:after="0"/>
        <w:jc w:val="both"/>
        <w:rPr>
          <w:rFonts w:cs="Open Sans"/>
          <w:lang w:bidi="en-US"/>
        </w:rPr>
      </w:pPr>
    </w:p>
    <w:p w:rsidR="006D423F" w:rsidRPr="00610C76" w:rsidRDefault="006D423F" w:rsidP="003F4E90">
      <w:pPr>
        <w:spacing w:after="0"/>
        <w:jc w:val="both"/>
        <w:rPr>
          <w:rFonts w:ascii="Open Sans" w:hAnsi="Open Sans" w:cs="Open Sans"/>
          <w:lang w:bidi="en-US"/>
        </w:rPr>
      </w:pPr>
    </w:p>
    <w:sectPr w:rsidR="006D423F" w:rsidRPr="00610C76" w:rsidSect="00B039F7">
      <w:footerReference w:type="default" r:id="rId32"/>
      <w:headerReference w:type="first" r:id="rId33"/>
      <w:footerReference w:type="first" r:id="rId34"/>
      <w:pgSz w:w="11906" w:h="16838"/>
      <w:pgMar w:top="426" w:right="851" w:bottom="1134" w:left="851"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BA" w:rsidRDefault="005F1CBA" w:rsidP="00214FD3">
      <w:pPr>
        <w:spacing w:after="0" w:line="240" w:lineRule="auto"/>
      </w:pPr>
      <w:r>
        <w:separator/>
      </w:r>
    </w:p>
  </w:endnote>
  <w:endnote w:type="continuationSeparator" w:id="0">
    <w:p w:rsidR="005F1CBA" w:rsidRDefault="005F1CBA" w:rsidP="00214FD3">
      <w:pPr>
        <w:spacing w:after="0" w:line="240" w:lineRule="auto"/>
      </w:pPr>
      <w:r>
        <w:continuationSeparator/>
      </w:r>
    </w:p>
  </w:endnote>
  <w:endnote w:id="1">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United Nations Enable, </w:t>
      </w:r>
      <w:r w:rsidRPr="00F92D85">
        <w:rPr>
          <w:i/>
          <w:sz w:val="18"/>
          <w:szCs w:val="18"/>
        </w:rPr>
        <w:t xml:space="preserve">Disability Inclusive Sustainable Development Goals. </w:t>
      </w:r>
      <w:r w:rsidRPr="00F92D85">
        <w:rPr>
          <w:sz w:val="18"/>
          <w:szCs w:val="18"/>
        </w:rPr>
        <w:t>URL: http://www</w:t>
      </w:r>
      <w:r>
        <w:rPr>
          <w:sz w:val="18"/>
          <w:szCs w:val="18"/>
        </w:rPr>
        <w:t>.un.org/disabilities/documents/</w:t>
      </w:r>
      <w:r w:rsidRPr="00F92D85">
        <w:rPr>
          <w:sz w:val="18"/>
          <w:szCs w:val="18"/>
        </w:rPr>
        <w:t>sdgs/disability_inclusive_sdgs.pdf.</w:t>
      </w:r>
    </w:p>
  </w:endnote>
  <w:endnote w:id="2">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2017 Foreign Policy White Paper, DFAT, P.g.89</w:t>
      </w:r>
    </w:p>
  </w:endnote>
  <w:endnote w:id="3">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2017 Foreign Policy White Paper, DFAT, P.g.90</w:t>
      </w:r>
    </w:p>
  </w:endnote>
  <w:endnote w:id="4">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2017 Foreign Policy White Paper, DFAT, P.g.7</w:t>
      </w:r>
    </w:p>
  </w:endnote>
  <w:endnote w:id="5">
    <w:p w:rsidR="00942F8E" w:rsidRPr="00F92D85" w:rsidRDefault="00942F8E" w:rsidP="00942F8E">
      <w:pPr>
        <w:autoSpaceDE w:val="0"/>
        <w:autoSpaceDN w:val="0"/>
        <w:adjustRightInd w:val="0"/>
        <w:spacing w:after="0" w:line="240" w:lineRule="auto"/>
        <w:rPr>
          <w:sz w:val="18"/>
          <w:szCs w:val="18"/>
        </w:rPr>
      </w:pPr>
      <w:r w:rsidRPr="00F92D85">
        <w:rPr>
          <w:rStyle w:val="EndnoteReference"/>
          <w:sz w:val="18"/>
          <w:szCs w:val="18"/>
        </w:rPr>
        <w:endnoteRef/>
      </w:r>
      <w:r w:rsidRPr="00F92D85">
        <w:rPr>
          <w:sz w:val="18"/>
          <w:szCs w:val="18"/>
        </w:rPr>
        <w:t xml:space="preserve"> United Nations, 2018, Realisation of the Sustainable Development Goals by, for and with persons with disabilities. UN Flagship Report on Disability and Development, </w:t>
      </w:r>
      <w:proofErr w:type="spellStart"/>
      <w:proofErr w:type="gramStart"/>
      <w:r w:rsidRPr="00F92D85">
        <w:rPr>
          <w:sz w:val="18"/>
          <w:szCs w:val="18"/>
        </w:rPr>
        <w:t>P.g</w:t>
      </w:r>
      <w:proofErr w:type="spellEnd"/>
      <w:proofErr w:type="gramEnd"/>
      <w:r w:rsidRPr="00F92D85">
        <w:rPr>
          <w:sz w:val="18"/>
          <w:szCs w:val="18"/>
        </w:rPr>
        <w:t xml:space="preserve">. 24. </w:t>
      </w:r>
      <w:hyperlink r:id="rId1" w:history="1">
        <w:r w:rsidRPr="00F92D85">
          <w:rPr>
            <w:rStyle w:val="Hyperlink"/>
            <w:sz w:val="18"/>
            <w:szCs w:val="18"/>
          </w:rPr>
          <w:t>https://www.un.org/development/desa/disabilities/publication-disability-sdgs.html</w:t>
        </w:r>
      </w:hyperlink>
    </w:p>
  </w:endnote>
  <w:endnote w:id="6">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w:t>
      </w:r>
      <w:r w:rsidRPr="00F92D85">
        <w:rPr>
          <w:rFonts w:cs="Open Sans"/>
          <w:sz w:val="18"/>
          <w:szCs w:val="18"/>
        </w:rPr>
        <w:t xml:space="preserve">Office of Development Effectiveness, 2018. </w:t>
      </w:r>
      <w:r w:rsidRPr="00F92D85">
        <w:rPr>
          <w:rFonts w:cs="Open Sans"/>
          <w:i/>
          <w:sz w:val="18"/>
          <w:szCs w:val="18"/>
        </w:rPr>
        <w:t>Development for All: Evaluation of progress made in strengthening disability inclusion in Australian aid</w:t>
      </w:r>
      <w:r w:rsidRPr="00F92D85">
        <w:rPr>
          <w:rFonts w:cs="Open Sans"/>
          <w:sz w:val="18"/>
          <w:szCs w:val="18"/>
        </w:rPr>
        <w:t>. DFAT, Canberra. p. 2.</w:t>
      </w:r>
    </w:p>
  </w:endnote>
  <w:endnote w:id="7">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w:t>
      </w:r>
      <w:r w:rsidRPr="00F92D85">
        <w:rPr>
          <w:rFonts w:cs="Open Sans"/>
          <w:sz w:val="18"/>
          <w:szCs w:val="18"/>
        </w:rPr>
        <w:t xml:space="preserve">Australian Government, 2017. </w:t>
      </w:r>
      <w:r w:rsidRPr="00F92D85">
        <w:rPr>
          <w:rFonts w:cs="Open Sans"/>
          <w:i/>
          <w:sz w:val="18"/>
          <w:szCs w:val="18"/>
        </w:rPr>
        <w:t>Fact sheet: Australian Humanitarian Partnership</w:t>
      </w:r>
      <w:r w:rsidRPr="00F92D85">
        <w:rPr>
          <w:rFonts w:cs="Open Sans"/>
          <w:sz w:val="18"/>
          <w:szCs w:val="18"/>
        </w:rPr>
        <w:t>. DFAT, Canberra.</w:t>
      </w:r>
    </w:p>
  </w:endnote>
  <w:endnote w:id="8">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w:t>
      </w:r>
      <w:r w:rsidRPr="00F92D85">
        <w:rPr>
          <w:rFonts w:cs="Open Sans"/>
          <w:sz w:val="18"/>
          <w:szCs w:val="18"/>
        </w:rPr>
        <w:t xml:space="preserve">GLAD Network. </w:t>
      </w:r>
      <w:r w:rsidRPr="00F92D85">
        <w:rPr>
          <w:rFonts w:cs="Open Sans"/>
          <w:i/>
          <w:sz w:val="18"/>
          <w:szCs w:val="18"/>
        </w:rPr>
        <w:t>The Network</w:t>
      </w:r>
      <w:r w:rsidRPr="00F92D85">
        <w:rPr>
          <w:rFonts w:cs="Open Sans"/>
          <w:sz w:val="18"/>
          <w:szCs w:val="18"/>
        </w:rPr>
        <w:t>. Available from gladnetwork.net/network.</w:t>
      </w:r>
    </w:p>
  </w:endnote>
  <w:endnote w:id="9">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w:t>
      </w:r>
      <w:r w:rsidRPr="00F92D85">
        <w:rPr>
          <w:rFonts w:cs="Open Sans"/>
          <w:sz w:val="18"/>
          <w:szCs w:val="18"/>
        </w:rPr>
        <w:t>Office of Development Effectiveness. p. 59.</w:t>
      </w:r>
    </w:p>
  </w:endnote>
  <w:endnote w:id="10">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w:t>
      </w:r>
      <w:r w:rsidRPr="00F92D85">
        <w:rPr>
          <w:rFonts w:cs="Open Sans"/>
          <w:sz w:val="18"/>
          <w:szCs w:val="18"/>
        </w:rPr>
        <w:t>Office of Development Effectiveness. p. 60.</w:t>
      </w:r>
    </w:p>
  </w:endnote>
  <w:endnote w:id="11">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w:t>
      </w:r>
      <w:r w:rsidRPr="00F92D85">
        <w:rPr>
          <w:rFonts w:cs="Open Sans"/>
          <w:i/>
          <w:sz w:val="18"/>
          <w:szCs w:val="18"/>
        </w:rPr>
        <w:t>Ibid.</w:t>
      </w:r>
    </w:p>
  </w:endnote>
  <w:endnote w:id="12">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United Nations, 2018, Realisation of the Sustainable Development Goals by, for and with persons with disabilities. UN Flagship Report on Disability and Development  </w:t>
      </w:r>
      <w:hyperlink r:id="rId2" w:history="1">
        <w:r w:rsidRPr="00F92D85">
          <w:rPr>
            <w:rStyle w:val="Hyperlink"/>
            <w:sz w:val="18"/>
            <w:szCs w:val="18"/>
          </w:rPr>
          <w:t>https://www.un.org/development/desa/disabilities/publication-disability-sdgs.html</w:t>
        </w:r>
      </w:hyperlink>
    </w:p>
  </w:endnote>
  <w:endnote w:id="13">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2019, GLAD Network, </w:t>
      </w:r>
      <w:hyperlink r:id="rId3" w:history="1">
        <w:r w:rsidRPr="00F92D85">
          <w:rPr>
            <w:rStyle w:val="Hyperlink"/>
            <w:sz w:val="18"/>
            <w:szCs w:val="18"/>
          </w:rPr>
          <w:t>https://gladnetwork.net/search/resources/glad-infographic-inclusive-education</w:t>
        </w:r>
      </w:hyperlink>
    </w:p>
  </w:endnote>
  <w:endnote w:id="14">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2017 Foreign Policy White Paper, DFAT, P.g.89</w:t>
      </w:r>
    </w:p>
  </w:endnote>
  <w:endnote w:id="15">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UN General Assembly, </w:t>
      </w:r>
      <w:r w:rsidRPr="00F92D85">
        <w:rPr>
          <w:i/>
          <w:iCs/>
          <w:sz w:val="18"/>
          <w:szCs w:val="18"/>
        </w:rPr>
        <w:t>Convention on the Rights of Persons with Disabilities : resolution / adopted by the General Assembly</w:t>
      </w:r>
      <w:r w:rsidRPr="00F92D85">
        <w:rPr>
          <w:sz w:val="18"/>
          <w:szCs w:val="18"/>
        </w:rPr>
        <w:t>, 24 January 2007</w:t>
      </w:r>
      <w:r w:rsidRPr="00F92D85">
        <w:rPr>
          <w:rFonts w:ascii="Helvetica" w:hAnsi="Helvetica"/>
          <w:sz w:val="18"/>
          <w:szCs w:val="18"/>
          <w:shd w:val="clear" w:color="auto" w:fill="FFFFFF"/>
        </w:rPr>
        <w:t xml:space="preserve"> </w:t>
      </w:r>
      <w:r w:rsidRPr="00F92D85">
        <w:rPr>
          <w:rFonts w:ascii="Helvetica" w:hAnsi="Helvetica"/>
          <w:color w:val="000000"/>
          <w:sz w:val="18"/>
          <w:szCs w:val="18"/>
          <w:shd w:val="clear" w:color="auto" w:fill="FFFFFF"/>
        </w:rPr>
        <w:t>(</w:t>
      </w:r>
      <w:hyperlink r:id="rId4" w:tooltip="Convention on the Rights of Persons with Disabilities [A/RES/61/106]" w:history="1">
        <w:r w:rsidRPr="00F92D85">
          <w:rPr>
            <w:rStyle w:val="Hyperlink"/>
            <w:color w:val="920F14" w:themeColor="accent1" w:themeShade="BF"/>
            <w:sz w:val="18"/>
            <w:szCs w:val="18"/>
            <w:bdr w:val="none" w:sz="0" w:space="0" w:color="auto" w:frame="1"/>
            <w:shd w:val="clear" w:color="auto" w:fill="FFFFFF"/>
          </w:rPr>
          <w:t>A/RES/61/106</w:t>
        </w:r>
      </w:hyperlink>
      <w:r w:rsidRPr="00F92D85">
        <w:rPr>
          <w:color w:val="000000"/>
          <w:sz w:val="18"/>
          <w:szCs w:val="18"/>
          <w:shd w:val="clear" w:color="auto" w:fill="FFFFFF"/>
        </w:rPr>
        <w:t>)</w:t>
      </w:r>
    </w:p>
  </w:endnote>
  <w:endnote w:id="16">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w:t>
      </w:r>
      <w:r w:rsidRPr="00F92D85">
        <w:rPr>
          <w:rFonts w:cs="Open Sans"/>
          <w:sz w:val="18"/>
          <w:szCs w:val="18"/>
        </w:rPr>
        <w:t xml:space="preserve">UN Economic and Social Commission for Asia and the Pacific, 2012. </w:t>
      </w:r>
      <w:r w:rsidRPr="00F92D85">
        <w:rPr>
          <w:rFonts w:cs="Open Sans"/>
          <w:i/>
          <w:sz w:val="18"/>
          <w:szCs w:val="18"/>
        </w:rPr>
        <w:t xml:space="preserve">Disability at a Glance 2012: Strengthening the Evidence Base in Asia and the Pacific. </w:t>
      </w:r>
      <w:r w:rsidRPr="00F92D85">
        <w:rPr>
          <w:rFonts w:cs="Open Sans"/>
          <w:sz w:val="18"/>
          <w:szCs w:val="18"/>
        </w:rPr>
        <w:t>United Nations, Bangkok.</w:t>
      </w:r>
      <w:r w:rsidRPr="00F92D85">
        <w:rPr>
          <w:rFonts w:cs="Open Sans"/>
          <w:i/>
          <w:sz w:val="18"/>
          <w:szCs w:val="18"/>
        </w:rPr>
        <w:t xml:space="preserve"> </w:t>
      </w:r>
      <w:r w:rsidRPr="00F92D85">
        <w:rPr>
          <w:rFonts w:cs="Open Sans"/>
          <w:sz w:val="18"/>
          <w:szCs w:val="18"/>
        </w:rPr>
        <w:t>p. 3.</w:t>
      </w:r>
    </w:p>
  </w:endnote>
  <w:endnote w:id="17">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w:t>
      </w:r>
      <w:r w:rsidRPr="00F92D85">
        <w:rPr>
          <w:rFonts w:cs="Open Sans"/>
          <w:sz w:val="18"/>
          <w:szCs w:val="18"/>
        </w:rPr>
        <w:t xml:space="preserve">Pacific Islands Forum Secretariat, 2016. </w:t>
      </w:r>
      <w:r w:rsidRPr="00F92D85">
        <w:rPr>
          <w:rFonts w:cs="Open Sans"/>
          <w:i/>
          <w:sz w:val="18"/>
          <w:szCs w:val="18"/>
        </w:rPr>
        <w:t>Pacific Framework for the Rights of Persons with Disabilities</w:t>
      </w:r>
      <w:r w:rsidRPr="00F92D85">
        <w:rPr>
          <w:rFonts w:cs="Open Sans"/>
          <w:sz w:val="18"/>
          <w:szCs w:val="18"/>
        </w:rPr>
        <w:t>. PIFS, Suva. p. 6-7.</w:t>
      </w:r>
    </w:p>
  </w:endnote>
  <w:endnote w:id="18">
    <w:p w:rsidR="00942F8E" w:rsidRPr="00F92D85" w:rsidRDefault="00942F8E" w:rsidP="00942F8E">
      <w:pPr>
        <w:pStyle w:val="Heading1"/>
        <w:shd w:val="clear" w:color="auto" w:fill="FFFFFF"/>
        <w:spacing w:before="0" w:after="0" w:line="240" w:lineRule="auto"/>
        <w:rPr>
          <w:rFonts w:asciiTheme="minorHAnsi" w:hAnsiTheme="minorHAnsi"/>
          <w:color w:val="111111"/>
          <w:sz w:val="18"/>
          <w:szCs w:val="18"/>
        </w:rPr>
      </w:pPr>
      <w:r w:rsidRPr="00F92D85">
        <w:rPr>
          <w:rStyle w:val="EndnoteReference"/>
          <w:rFonts w:asciiTheme="minorHAnsi" w:eastAsiaTheme="minorHAnsi" w:hAnsiTheme="minorHAnsi" w:cstheme="minorBidi"/>
          <w:b w:val="0"/>
          <w:bCs w:val="0"/>
          <w:color w:val="auto"/>
          <w:sz w:val="18"/>
          <w:szCs w:val="18"/>
          <w:lang w:bidi="ar-SA"/>
        </w:rPr>
        <w:endnoteRef/>
      </w:r>
      <w:r w:rsidRPr="00F92D85">
        <w:rPr>
          <w:rStyle w:val="EndnoteReference"/>
          <w:rFonts w:asciiTheme="minorHAnsi" w:eastAsiaTheme="minorHAnsi" w:hAnsiTheme="minorHAnsi" w:cstheme="minorBidi"/>
          <w:b w:val="0"/>
          <w:bCs w:val="0"/>
          <w:color w:val="auto"/>
          <w:sz w:val="18"/>
          <w:szCs w:val="18"/>
          <w:lang w:bidi="ar-SA"/>
        </w:rPr>
        <w:t xml:space="preserve"> </w:t>
      </w:r>
      <w:r w:rsidRPr="00F92D85">
        <w:rPr>
          <w:rFonts w:asciiTheme="minorHAnsi" w:eastAsiaTheme="minorHAnsi" w:hAnsiTheme="minorHAnsi" w:cstheme="minorBidi"/>
          <w:b w:val="0"/>
          <w:bCs w:val="0"/>
          <w:color w:val="auto"/>
          <w:sz w:val="18"/>
          <w:szCs w:val="18"/>
          <w:lang w:bidi="ar-SA"/>
        </w:rPr>
        <w:t xml:space="preserve">OECD, The Busan Partnership for Effective Development Co-operation, </w:t>
      </w:r>
      <w:hyperlink r:id="rId5" w:history="1">
        <w:r w:rsidRPr="00F92D85">
          <w:rPr>
            <w:rStyle w:val="Hyperlink"/>
            <w:rFonts w:asciiTheme="minorHAnsi" w:eastAsiaTheme="minorHAnsi" w:hAnsiTheme="minorHAnsi" w:cstheme="minorBidi"/>
            <w:b w:val="0"/>
            <w:bCs w:val="0"/>
            <w:sz w:val="18"/>
            <w:szCs w:val="18"/>
            <w:lang w:bidi="ar-SA"/>
          </w:rPr>
          <w:t>https://www.oecd.org/development/effectiveness/busanpartnership.htm</w:t>
        </w:r>
      </w:hyperlink>
    </w:p>
  </w:endnote>
  <w:endnote w:id="19">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DFAT, 2018. ‘Performance of Australian Aid 2016-17’, </w:t>
      </w:r>
      <w:hyperlink r:id="rId6" w:history="1">
        <w:r w:rsidRPr="00F92D85">
          <w:rPr>
            <w:rStyle w:val="Hyperlink"/>
            <w:sz w:val="18"/>
            <w:szCs w:val="18"/>
          </w:rPr>
          <w:t>https://dfat.gov.au/about-us/publications/Documents/performance-ofaustralian-aid-2016-17.pdf</w:t>
        </w:r>
      </w:hyperlink>
    </w:p>
  </w:endnote>
  <w:endnote w:id="20">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OECD 2019, Aid for Civil Society Organisations- Statistics based on DAC Members’ reporting to the Creditor Reporting System database (CRS), 2016-2017 </w:t>
      </w:r>
      <w:hyperlink r:id="rId7" w:history="1">
        <w:r w:rsidRPr="00F92D85">
          <w:rPr>
            <w:rStyle w:val="Hyperlink"/>
            <w:sz w:val="18"/>
            <w:szCs w:val="18"/>
          </w:rPr>
          <w:t>http://www.oecd.org/dac/financing-sustainable-development/development-finance-topics/Aid-for-CSOs-2019.pdf</w:t>
        </w:r>
      </w:hyperlink>
    </w:p>
  </w:endnote>
  <w:endnote w:id="21">
    <w:p w:rsidR="00942F8E" w:rsidRPr="00F92D85" w:rsidRDefault="00942F8E" w:rsidP="00942F8E">
      <w:pPr>
        <w:pStyle w:val="Heading1"/>
        <w:shd w:val="clear" w:color="auto" w:fill="FFFFFF"/>
        <w:spacing w:before="0" w:after="0" w:line="240" w:lineRule="auto"/>
        <w:rPr>
          <w:rFonts w:asciiTheme="minorHAnsi" w:eastAsiaTheme="minorHAnsi" w:hAnsiTheme="minorHAnsi" w:cstheme="minorBidi"/>
          <w:b w:val="0"/>
          <w:bCs w:val="0"/>
          <w:color w:val="auto"/>
          <w:sz w:val="18"/>
          <w:szCs w:val="18"/>
          <w:lang w:bidi="ar-SA"/>
        </w:rPr>
      </w:pPr>
      <w:r w:rsidRPr="00F92D85">
        <w:rPr>
          <w:rStyle w:val="EndnoteReference"/>
          <w:rFonts w:asciiTheme="minorHAnsi" w:eastAsiaTheme="minorHAnsi" w:hAnsiTheme="minorHAnsi" w:cstheme="minorBidi"/>
          <w:b w:val="0"/>
          <w:bCs w:val="0"/>
          <w:color w:val="auto"/>
          <w:sz w:val="18"/>
          <w:szCs w:val="18"/>
          <w:lang w:bidi="ar-SA"/>
        </w:rPr>
        <w:endnoteRef/>
      </w:r>
      <w:r w:rsidRPr="00F92D85">
        <w:rPr>
          <w:rStyle w:val="EndnoteReference"/>
          <w:rFonts w:asciiTheme="minorHAnsi" w:eastAsiaTheme="minorHAnsi" w:hAnsiTheme="minorHAnsi" w:cstheme="minorBidi"/>
          <w:b w:val="0"/>
          <w:bCs w:val="0"/>
          <w:color w:val="auto"/>
          <w:sz w:val="18"/>
          <w:szCs w:val="18"/>
          <w:lang w:bidi="ar-SA"/>
        </w:rPr>
        <w:t xml:space="preserve"> </w:t>
      </w:r>
      <w:r w:rsidRPr="00F92D85">
        <w:rPr>
          <w:rFonts w:asciiTheme="minorHAnsi" w:eastAsiaTheme="minorHAnsi" w:hAnsiTheme="minorHAnsi" w:cstheme="minorBidi"/>
          <w:b w:val="0"/>
          <w:bCs w:val="0"/>
          <w:color w:val="auto"/>
          <w:sz w:val="18"/>
          <w:szCs w:val="18"/>
          <w:lang w:bidi="ar-SA"/>
        </w:rPr>
        <w:t xml:space="preserve">Office of Development Effectiveness, </w:t>
      </w:r>
      <w:r w:rsidRPr="00F92D85">
        <w:rPr>
          <w:rFonts w:asciiTheme="minorHAnsi" w:eastAsiaTheme="minorHAnsi" w:hAnsiTheme="minorHAnsi" w:cstheme="minorBidi"/>
          <w:b w:val="0"/>
          <w:bCs w:val="0"/>
          <w:i/>
          <w:color w:val="auto"/>
          <w:sz w:val="18"/>
          <w:szCs w:val="18"/>
          <w:lang w:bidi="ar-SA"/>
        </w:rPr>
        <w:t>Evaluation of the Australian NGO Cooperation Program</w:t>
      </w:r>
      <w:r w:rsidRPr="00F92D85">
        <w:rPr>
          <w:rFonts w:asciiTheme="minorHAnsi" w:eastAsiaTheme="minorHAnsi" w:hAnsiTheme="minorHAnsi" w:cstheme="minorBidi"/>
          <w:b w:val="0"/>
          <w:bCs w:val="0"/>
          <w:color w:val="auto"/>
          <w:sz w:val="18"/>
          <w:szCs w:val="18"/>
          <w:lang w:bidi="ar-SA"/>
        </w:rPr>
        <w:t xml:space="preserve">, </w:t>
      </w:r>
      <w:hyperlink r:id="rId8" w:history="1">
        <w:r w:rsidRPr="00F92D85">
          <w:rPr>
            <w:rStyle w:val="Hyperlink"/>
            <w:rFonts w:asciiTheme="minorHAnsi" w:eastAsiaTheme="minorHAnsi" w:hAnsiTheme="minorHAnsi" w:cstheme="minorBidi"/>
            <w:b w:val="0"/>
            <w:bCs w:val="0"/>
            <w:sz w:val="18"/>
            <w:szCs w:val="18"/>
            <w:lang w:bidi="ar-SA"/>
          </w:rPr>
          <w:t>https://dfat.gov.au/aid/how-we-measure-performance/ode/other-work/Pages/evaluation-of-the-australian-ngo-cooperation-program.aspx</w:t>
        </w:r>
      </w:hyperlink>
    </w:p>
  </w:endnote>
  <w:endnote w:id="22">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w:t>
      </w:r>
      <w:r w:rsidRPr="00F92D85">
        <w:rPr>
          <w:rFonts w:cs="Open Sans"/>
          <w:sz w:val="18"/>
          <w:szCs w:val="18"/>
        </w:rPr>
        <w:t xml:space="preserve">Australian Government, 2018. </w:t>
      </w:r>
      <w:r w:rsidRPr="00F92D85">
        <w:rPr>
          <w:rFonts w:cs="Open Sans"/>
          <w:i/>
          <w:sz w:val="18"/>
          <w:szCs w:val="18"/>
        </w:rPr>
        <w:t>Report on the Implementation of the Sustainable Development Goals</w:t>
      </w:r>
      <w:r w:rsidRPr="00F92D85">
        <w:rPr>
          <w:rFonts w:cs="Open Sans"/>
          <w:sz w:val="18"/>
          <w:szCs w:val="18"/>
        </w:rPr>
        <w:t>. DFAT, Canberra. p. 72.</w:t>
      </w:r>
    </w:p>
  </w:endnote>
  <w:endnote w:id="23">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https://unstats.un.org/sdgs/files/report/2017/thesustainabledevelopmentgoalsreport2017.pdf</w:t>
      </w:r>
    </w:p>
  </w:endnote>
  <w:endnote w:id="24">
    <w:p w:rsidR="00942F8E" w:rsidRPr="00F92D85" w:rsidRDefault="00942F8E" w:rsidP="00942F8E">
      <w:pPr>
        <w:pStyle w:val="EndnoteText"/>
        <w:rPr>
          <w:sz w:val="18"/>
          <w:szCs w:val="18"/>
        </w:rPr>
      </w:pPr>
      <w:r w:rsidRPr="00F92D85">
        <w:rPr>
          <w:rStyle w:val="EndnoteReference"/>
          <w:sz w:val="18"/>
          <w:szCs w:val="18"/>
        </w:rPr>
        <w:endnoteRef/>
      </w:r>
      <w:r w:rsidRPr="00F92D85">
        <w:rPr>
          <w:sz w:val="18"/>
          <w:szCs w:val="18"/>
        </w:rPr>
        <w:t xml:space="preserve"> https://dfat.gov.au/about-us/publications/Pages/aid-program-performance-reports.aspx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Avenir"/>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D2" w:rsidRDefault="00CD445C" w:rsidP="00613F11">
    <w:pPr>
      <w:pStyle w:val="Footer"/>
      <w:rPr>
        <w:sz w:val="18"/>
      </w:rPr>
    </w:pPr>
    <w:r>
      <w:rPr>
        <w:sz w:val="18"/>
      </w:rPr>
      <w:pict w14:anchorId="5AC71E0E">
        <v:rect id="_x0000_i1073" style="width:481.9pt;height:1.5pt" o:hralign="center" o:hrstd="t" o:hrnoshade="t" o:hr="t" fillcolor="#c4141b [3204]"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2330"/>
    </w:tblGrid>
    <w:tr w:rsidR="000E6CD2" w:rsidRPr="003B0D16" w:rsidTr="00613F11">
      <w:tc>
        <w:tcPr>
          <w:tcW w:w="7308" w:type="dxa"/>
        </w:tcPr>
        <w:p w:rsidR="000E6CD2" w:rsidRPr="00BB4330" w:rsidRDefault="000E6CD2" w:rsidP="00E60E6C">
          <w:pPr>
            <w:pStyle w:val="Footer"/>
            <w:rPr>
              <w:rFonts w:ascii="Open Sans" w:hAnsi="Open Sans" w:cs="Open Sans"/>
              <w:color w:val="595959" w:themeColor="text1" w:themeTint="A6"/>
              <w:sz w:val="18"/>
              <w:szCs w:val="18"/>
            </w:rPr>
          </w:pPr>
          <w:r w:rsidRPr="00BB4330">
            <w:rPr>
              <w:rFonts w:ascii="Open Sans" w:hAnsi="Open Sans" w:cs="Open Sans"/>
              <w:color w:val="595959" w:themeColor="text1" w:themeTint="A6"/>
              <w:sz w:val="18"/>
              <w:szCs w:val="18"/>
            </w:rPr>
            <w:t>CBM Australia</w:t>
          </w:r>
        </w:p>
      </w:tc>
      <w:tc>
        <w:tcPr>
          <w:tcW w:w="2330" w:type="dxa"/>
        </w:tcPr>
        <w:sdt>
          <w:sdtPr>
            <w:rPr>
              <w:rFonts w:ascii="Open Sans" w:hAnsi="Open Sans" w:cs="Open Sans"/>
              <w:color w:val="595959" w:themeColor="text1" w:themeTint="A6"/>
              <w:sz w:val="18"/>
              <w:szCs w:val="18"/>
            </w:rPr>
            <w:id w:val="717948721"/>
            <w:docPartObj>
              <w:docPartGallery w:val="Page Numbers (Top of Page)"/>
              <w:docPartUnique/>
            </w:docPartObj>
          </w:sdtPr>
          <w:sdtEndPr/>
          <w:sdtContent>
            <w:p w:rsidR="000E6CD2" w:rsidRPr="00BB4330" w:rsidRDefault="000E6CD2" w:rsidP="00115056">
              <w:pPr>
                <w:pStyle w:val="Footer"/>
                <w:tabs>
                  <w:tab w:val="clear" w:pos="4513"/>
                </w:tabs>
                <w:jc w:val="right"/>
                <w:rPr>
                  <w:rFonts w:ascii="Open Sans" w:hAnsi="Open Sans" w:cs="Open Sans"/>
                  <w:color w:val="595959" w:themeColor="text1" w:themeTint="A6"/>
                  <w:sz w:val="18"/>
                  <w:szCs w:val="18"/>
                </w:rPr>
              </w:pPr>
              <w:r w:rsidRPr="00BB4330">
                <w:rPr>
                  <w:rFonts w:ascii="Open Sans" w:hAnsi="Open Sans" w:cs="Open Sans"/>
                  <w:color w:val="595959" w:themeColor="text1" w:themeTint="A6"/>
                  <w:sz w:val="18"/>
                  <w:szCs w:val="18"/>
                </w:rPr>
                <w:t xml:space="preserve">Page </w:t>
              </w:r>
              <w:r w:rsidRPr="00BB4330">
                <w:rPr>
                  <w:rFonts w:ascii="Open Sans" w:hAnsi="Open Sans" w:cs="Open Sans"/>
                  <w:b/>
                  <w:color w:val="595959" w:themeColor="text1" w:themeTint="A6"/>
                  <w:sz w:val="18"/>
                  <w:szCs w:val="18"/>
                </w:rPr>
                <w:fldChar w:fldCharType="begin"/>
              </w:r>
              <w:r w:rsidRPr="00BB4330">
                <w:rPr>
                  <w:rFonts w:ascii="Open Sans" w:hAnsi="Open Sans" w:cs="Open Sans"/>
                  <w:b/>
                  <w:color w:val="595959" w:themeColor="text1" w:themeTint="A6"/>
                  <w:sz w:val="18"/>
                  <w:szCs w:val="18"/>
                </w:rPr>
                <w:instrText xml:space="preserve"> PAGE </w:instrText>
              </w:r>
              <w:r w:rsidRPr="00BB4330">
                <w:rPr>
                  <w:rFonts w:ascii="Open Sans" w:hAnsi="Open Sans" w:cs="Open Sans"/>
                  <w:b/>
                  <w:color w:val="595959" w:themeColor="text1" w:themeTint="A6"/>
                  <w:sz w:val="18"/>
                  <w:szCs w:val="18"/>
                </w:rPr>
                <w:fldChar w:fldCharType="separate"/>
              </w:r>
              <w:r w:rsidR="00CD445C">
                <w:rPr>
                  <w:rFonts w:ascii="Open Sans" w:hAnsi="Open Sans" w:cs="Open Sans"/>
                  <w:b/>
                  <w:noProof/>
                  <w:color w:val="595959" w:themeColor="text1" w:themeTint="A6"/>
                  <w:sz w:val="18"/>
                  <w:szCs w:val="18"/>
                </w:rPr>
                <w:t>1</w:t>
              </w:r>
              <w:r w:rsidRPr="00BB4330">
                <w:rPr>
                  <w:rFonts w:ascii="Open Sans" w:hAnsi="Open Sans" w:cs="Open Sans"/>
                  <w:b/>
                  <w:color w:val="595959" w:themeColor="text1" w:themeTint="A6"/>
                  <w:sz w:val="18"/>
                  <w:szCs w:val="18"/>
                </w:rPr>
                <w:fldChar w:fldCharType="end"/>
              </w:r>
              <w:r w:rsidRPr="00BB4330">
                <w:rPr>
                  <w:rFonts w:ascii="Open Sans" w:hAnsi="Open Sans" w:cs="Open Sans"/>
                  <w:color w:val="595959" w:themeColor="text1" w:themeTint="A6"/>
                  <w:sz w:val="18"/>
                  <w:szCs w:val="18"/>
                </w:rPr>
                <w:t xml:space="preserve"> of </w:t>
              </w:r>
              <w:r w:rsidRPr="00BB4330">
                <w:rPr>
                  <w:rFonts w:ascii="Open Sans" w:hAnsi="Open Sans" w:cs="Open Sans"/>
                  <w:b/>
                  <w:color w:val="595959" w:themeColor="text1" w:themeTint="A6"/>
                  <w:sz w:val="18"/>
                  <w:szCs w:val="18"/>
                </w:rPr>
                <w:fldChar w:fldCharType="begin"/>
              </w:r>
              <w:r w:rsidRPr="00BB4330">
                <w:rPr>
                  <w:rFonts w:ascii="Open Sans" w:hAnsi="Open Sans" w:cs="Open Sans"/>
                  <w:b/>
                  <w:color w:val="595959" w:themeColor="text1" w:themeTint="A6"/>
                  <w:sz w:val="18"/>
                  <w:szCs w:val="18"/>
                </w:rPr>
                <w:instrText xml:space="preserve"> NUMPAGES  </w:instrText>
              </w:r>
              <w:r w:rsidRPr="00BB4330">
                <w:rPr>
                  <w:rFonts w:ascii="Open Sans" w:hAnsi="Open Sans" w:cs="Open Sans"/>
                  <w:b/>
                  <w:color w:val="595959" w:themeColor="text1" w:themeTint="A6"/>
                  <w:sz w:val="18"/>
                  <w:szCs w:val="18"/>
                </w:rPr>
                <w:fldChar w:fldCharType="separate"/>
              </w:r>
              <w:r w:rsidR="00CD445C">
                <w:rPr>
                  <w:rFonts w:ascii="Open Sans" w:hAnsi="Open Sans" w:cs="Open Sans"/>
                  <w:b/>
                  <w:noProof/>
                  <w:color w:val="595959" w:themeColor="text1" w:themeTint="A6"/>
                  <w:sz w:val="18"/>
                  <w:szCs w:val="18"/>
                </w:rPr>
                <w:t>6</w:t>
              </w:r>
              <w:r w:rsidRPr="00BB4330">
                <w:rPr>
                  <w:rFonts w:ascii="Open Sans" w:hAnsi="Open Sans" w:cs="Open Sans"/>
                  <w:b/>
                  <w:color w:val="595959" w:themeColor="text1" w:themeTint="A6"/>
                  <w:sz w:val="18"/>
                  <w:szCs w:val="18"/>
                </w:rPr>
                <w:fldChar w:fldCharType="end"/>
              </w:r>
            </w:p>
          </w:sdtContent>
        </w:sdt>
      </w:tc>
    </w:tr>
  </w:tbl>
  <w:p w:rsidR="000E6CD2" w:rsidRPr="003B0D16" w:rsidRDefault="000E6CD2" w:rsidP="00E60E6C">
    <w:pPr>
      <w:pStyle w:val="Footer"/>
      <w:rPr>
        <w:sz w:val="2"/>
      </w:rPr>
    </w:pPr>
  </w:p>
  <w:p w:rsidR="000E6CD2" w:rsidRDefault="000E6C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200834"/>
      <w:docPartObj>
        <w:docPartGallery w:val="Page Numbers (Bottom of Page)"/>
        <w:docPartUnique/>
      </w:docPartObj>
    </w:sdtPr>
    <w:sdtEndPr/>
    <w:sdtContent>
      <w:sdt>
        <w:sdtPr>
          <w:id w:val="247088682"/>
          <w:docPartObj>
            <w:docPartGallery w:val="Page Numbers (Top of Page)"/>
            <w:docPartUnique/>
          </w:docPartObj>
        </w:sdtPr>
        <w:sdtEndPr/>
        <w:sdtContent>
          <w:p w:rsidR="000E6CD2" w:rsidRDefault="000E6CD2" w:rsidP="00613F11">
            <w:pPr>
              <w:pStyle w:val="Header"/>
            </w:pPr>
          </w:p>
          <w:p w:rsidR="000E6CD2" w:rsidRDefault="000E6CD2" w:rsidP="00613F11"/>
          <w:p w:rsidR="000E6CD2" w:rsidRDefault="00CD445C" w:rsidP="00613F11">
            <w:pPr>
              <w:pStyle w:val="Footer"/>
              <w:rPr>
                <w:sz w:val="18"/>
              </w:rPr>
            </w:pPr>
            <w:r>
              <w:rPr>
                <w:sz w:val="18"/>
              </w:rPr>
              <w:pict w14:anchorId="23D8F866">
                <v:rect id="_x0000_i1074" style="width:481.9pt;height:1.5pt" o:hralign="center" o:hrstd="t" o:hrnoshade="t" o:hr="t" fillcolor="#c4141b [3204]"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4123"/>
            </w:tblGrid>
            <w:tr w:rsidR="000E6CD2" w:rsidRPr="00613F11" w:rsidTr="00853505">
              <w:tc>
                <w:tcPr>
                  <w:tcW w:w="5637" w:type="dxa"/>
                </w:tcPr>
                <w:p w:rsidR="000E6CD2" w:rsidRPr="00613F11" w:rsidRDefault="000E6CD2" w:rsidP="00613F11">
                  <w:pPr>
                    <w:pStyle w:val="Footer"/>
                    <w:rPr>
                      <w:rFonts w:ascii="Open Sans" w:hAnsi="Open Sans" w:cs="Open Sans"/>
                      <w:color w:val="595959" w:themeColor="text1" w:themeTint="A6"/>
                      <w:sz w:val="18"/>
                    </w:rPr>
                  </w:pPr>
                  <w:r w:rsidRPr="00613F11">
                    <w:rPr>
                      <w:rFonts w:ascii="Open Sans" w:hAnsi="Open Sans" w:cs="Open Sans"/>
                      <w:color w:val="595959" w:themeColor="text1" w:themeTint="A6"/>
                      <w:sz w:val="18"/>
                    </w:rPr>
                    <w:t>CBM Australia</w:t>
                  </w:r>
                </w:p>
              </w:tc>
              <w:tc>
                <w:tcPr>
                  <w:tcW w:w="4217" w:type="dxa"/>
                </w:tcPr>
                <w:p w:rsidR="000E6CD2" w:rsidRPr="00613F11" w:rsidRDefault="000E6CD2" w:rsidP="00613F11">
                  <w:pPr>
                    <w:pStyle w:val="Footer"/>
                    <w:jc w:val="right"/>
                    <w:rPr>
                      <w:rFonts w:ascii="Open Sans" w:hAnsi="Open Sans" w:cs="Open Sans"/>
                      <w:color w:val="595959" w:themeColor="text1" w:themeTint="A6"/>
                      <w:sz w:val="18"/>
                      <w:szCs w:val="18"/>
                    </w:rPr>
                  </w:pPr>
                  <w:r w:rsidRPr="00613F11">
                    <w:rPr>
                      <w:rFonts w:ascii="Open Sans" w:hAnsi="Open Sans" w:cs="Open Sans"/>
                      <w:color w:val="595959" w:themeColor="text1" w:themeTint="A6"/>
                      <w:sz w:val="18"/>
                      <w:szCs w:val="18"/>
                    </w:rPr>
                    <w:t xml:space="preserve">Page </w:t>
                  </w:r>
                  <w:r w:rsidRPr="00613F11">
                    <w:rPr>
                      <w:rFonts w:ascii="Open Sans" w:hAnsi="Open Sans" w:cs="Open Sans"/>
                      <w:b/>
                      <w:bCs/>
                      <w:color w:val="595959" w:themeColor="text1" w:themeTint="A6"/>
                      <w:sz w:val="18"/>
                      <w:szCs w:val="18"/>
                    </w:rPr>
                    <w:fldChar w:fldCharType="begin"/>
                  </w:r>
                  <w:r w:rsidRPr="00613F11">
                    <w:rPr>
                      <w:rFonts w:ascii="Open Sans" w:hAnsi="Open Sans" w:cs="Open Sans"/>
                      <w:b/>
                      <w:bCs/>
                      <w:color w:val="595959" w:themeColor="text1" w:themeTint="A6"/>
                      <w:sz w:val="18"/>
                      <w:szCs w:val="18"/>
                    </w:rPr>
                    <w:instrText xml:space="preserve"> PAGE </w:instrText>
                  </w:r>
                  <w:r w:rsidRPr="00613F11">
                    <w:rPr>
                      <w:rFonts w:ascii="Open Sans" w:hAnsi="Open Sans" w:cs="Open Sans"/>
                      <w:b/>
                      <w:bCs/>
                      <w:color w:val="595959" w:themeColor="text1" w:themeTint="A6"/>
                      <w:sz w:val="18"/>
                      <w:szCs w:val="18"/>
                    </w:rPr>
                    <w:fldChar w:fldCharType="separate"/>
                  </w:r>
                  <w:r>
                    <w:rPr>
                      <w:rFonts w:ascii="Open Sans" w:hAnsi="Open Sans" w:cs="Open Sans"/>
                      <w:b/>
                      <w:bCs/>
                      <w:noProof/>
                      <w:color w:val="595959" w:themeColor="text1" w:themeTint="A6"/>
                      <w:sz w:val="18"/>
                      <w:szCs w:val="18"/>
                    </w:rPr>
                    <w:t>1</w:t>
                  </w:r>
                  <w:r w:rsidRPr="00613F11">
                    <w:rPr>
                      <w:rFonts w:ascii="Open Sans" w:hAnsi="Open Sans" w:cs="Open Sans"/>
                      <w:b/>
                      <w:bCs/>
                      <w:color w:val="595959" w:themeColor="text1" w:themeTint="A6"/>
                      <w:sz w:val="18"/>
                      <w:szCs w:val="18"/>
                    </w:rPr>
                    <w:fldChar w:fldCharType="end"/>
                  </w:r>
                  <w:r w:rsidRPr="00613F11">
                    <w:rPr>
                      <w:rFonts w:ascii="Open Sans" w:hAnsi="Open Sans" w:cs="Open Sans"/>
                      <w:color w:val="595959" w:themeColor="text1" w:themeTint="A6"/>
                      <w:sz w:val="18"/>
                      <w:szCs w:val="18"/>
                    </w:rPr>
                    <w:t xml:space="preserve"> of </w:t>
                  </w:r>
                  <w:r w:rsidRPr="00613F11">
                    <w:rPr>
                      <w:rFonts w:ascii="Open Sans" w:hAnsi="Open Sans" w:cs="Open Sans"/>
                      <w:b/>
                      <w:bCs/>
                      <w:color w:val="595959" w:themeColor="text1" w:themeTint="A6"/>
                      <w:sz w:val="18"/>
                      <w:szCs w:val="18"/>
                    </w:rPr>
                    <w:fldChar w:fldCharType="begin"/>
                  </w:r>
                  <w:r w:rsidRPr="00613F11">
                    <w:rPr>
                      <w:rFonts w:ascii="Open Sans" w:hAnsi="Open Sans" w:cs="Open Sans"/>
                      <w:b/>
                      <w:bCs/>
                      <w:color w:val="595959" w:themeColor="text1" w:themeTint="A6"/>
                      <w:sz w:val="18"/>
                      <w:szCs w:val="18"/>
                    </w:rPr>
                    <w:instrText xml:space="preserve"> NUMPAGES  </w:instrText>
                  </w:r>
                  <w:r w:rsidRPr="00613F11">
                    <w:rPr>
                      <w:rFonts w:ascii="Open Sans" w:hAnsi="Open Sans" w:cs="Open Sans"/>
                      <w:b/>
                      <w:bCs/>
                      <w:color w:val="595959" w:themeColor="text1" w:themeTint="A6"/>
                      <w:sz w:val="18"/>
                      <w:szCs w:val="18"/>
                    </w:rPr>
                    <w:fldChar w:fldCharType="separate"/>
                  </w:r>
                  <w:r w:rsidR="00CD445C">
                    <w:rPr>
                      <w:rFonts w:ascii="Open Sans" w:hAnsi="Open Sans" w:cs="Open Sans"/>
                      <w:b/>
                      <w:bCs/>
                      <w:noProof/>
                      <w:color w:val="595959" w:themeColor="text1" w:themeTint="A6"/>
                      <w:sz w:val="18"/>
                      <w:szCs w:val="18"/>
                    </w:rPr>
                    <w:t>6</w:t>
                  </w:r>
                  <w:r w:rsidRPr="00613F11">
                    <w:rPr>
                      <w:rFonts w:ascii="Open Sans" w:hAnsi="Open Sans" w:cs="Open Sans"/>
                      <w:b/>
                      <w:bCs/>
                      <w:color w:val="595959" w:themeColor="text1" w:themeTint="A6"/>
                      <w:sz w:val="18"/>
                      <w:szCs w:val="18"/>
                    </w:rPr>
                    <w:fldChar w:fldCharType="end"/>
                  </w:r>
                </w:p>
              </w:tc>
            </w:tr>
          </w:tbl>
          <w:p w:rsidR="000E6CD2" w:rsidRDefault="00CD445C" w:rsidP="00613F11">
            <w:pPr>
              <w:pStyle w:val="Footer"/>
            </w:pPr>
          </w:p>
        </w:sdtContent>
      </w:sdt>
    </w:sdtContent>
  </w:sdt>
  <w:p w:rsidR="000E6CD2" w:rsidRPr="00DC6823" w:rsidRDefault="000E6CD2" w:rsidP="00DC6823">
    <w:pPr>
      <w:pStyle w:val="NoSpacing"/>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BA" w:rsidRDefault="005F1CBA" w:rsidP="00214FD3">
      <w:pPr>
        <w:spacing w:after="0" w:line="240" w:lineRule="auto"/>
      </w:pPr>
      <w:r>
        <w:separator/>
      </w:r>
    </w:p>
  </w:footnote>
  <w:footnote w:type="continuationSeparator" w:id="0">
    <w:p w:rsidR="005F1CBA" w:rsidRDefault="005F1CBA" w:rsidP="00214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D2" w:rsidRDefault="000E6CD2">
    <w:pPr>
      <w:pStyle w:val="Header"/>
    </w:pPr>
  </w:p>
  <w:p w:rsidR="000E6CD2" w:rsidRDefault="000E6C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534"/>
    <w:multiLevelType w:val="multilevel"/>
    <w:tmpl w:val="5C9E74D8"/>
    <w:lvl w:ilvl="0">
      <w:start w:val="2"/>
      <w:numFmt w:val="decimal"/>
      <w:lvlText w:val="%1"/>
      <w:lvlJc w:val="left"/>
      <w:pPr>
        <w:ind w:left="405" w:hanging="40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 w15:restartNumberingAfterBreak="0">
    <w:nsid w:val="10427608"/>
    <w:multiLevelType w:val="multilevel"/>
    <w:tmpl w:val="AD78742C"/>
    <w:lvl w:ilvl="0">
      <w:start w:val="2"/>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 w15:restartNumberingAfterBreak="0">
    <w:nsid w:val="235C45C9"/>
    <w:multiLevelType w:val="multilevel"/>
    <w:tmpl w:val="EBF49BF6"/>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689143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E02AF"/>
    <w:multiLevelType w:val="multilevel"/>
    <w:tmpl w:val="49CEC4F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2A355BEE"/>
    <w:multiLevelType w:val="multilevel"/>
    <w:tmpl w:val="D578EA98"/>
    <w:lvl w:ilvl="0">
      <w:start w:val="2"/>
      <w:numFmt w:val="decimal"/>
      <w:lvlText w:val="%1"/>
      <w:lvlJc w:val="left"/>
      <w:pPr>
        <w:ind w:left="375" w:hanging="375"/>
      </w:pPr>
      <w:rPr>
        <w:rFonts w:asciiTheme="majorHAnsi" w:hAnsiTheme="majorHAnsi" w:cstheme="majorBidi" w:hint="default"/>
      </w:rPr>
    </w:lvl>
    <w:lvl w:ilvl="1">
      <w:start w:val="1"/>
      <w:numFmt w:val="decimal"/>
      <w:lvlText w:val="%1.%2"/>
      <w:lvlJc w:val="left"/>
      <w:pPr>
        <w:ind w:left="375" w:hanging="375"/>
      </w:pPr>
      <w:rPr>
        <w:rFonts w:asciiTheme="majorHAnsi" w:hAnsiTheme="majorHAnsi" w:cstheme="majorBidi" w:hint="default"/>
        <w:b/>
      </w:rPr>
    </w:lvl>
    <w:lvl w:ilvl="2">
      <w:start w:val="1"/>
      <w:numFmt w:val="decimal"/>
      <w:lvlText w:val="%1.%2.%3"/>
      <w:lvlJc w:val="left"/>
      <w:pPr>
        <w:ind w:left="720" w:hanging="720"/>
      </w:pPr>
      <w:rPr>
        <w:rFonts w:asciiTheme="majorHAnsi" w:hAnsiTheme="majorHAnsi" w:cstheme="majorBidi" w:hint="default"/>
      </w:rPr>
    </w:lvl>
    <w:lvl w:ilvl="3">
      <w:start w:val="1"/>
      <w:numFmt w:val="decimal"/>
      <w:lvlText w:val="%1.%2.%3.%4"/>
      <w:lvlJc w:val="left"/>
      <w:pPr>
        <w:ind w:left="1080" w:hanging="1080"/>
      </w:pPr>
      <w:rPr>
        <w:rFonts w:asciiTheme="majorHAnsi" w:hAnsiTheme="majorHAnsi" w:cstheme="majorBidi" w:hint="default"/>
      </w:rPr>
    </w:lvl>
    <w:lvl w:ilvl="4">
      <w:start w:val="1"/>
      <w:numFmt w:val="decimal"/>
      <w:lvlText w:val="%1.%2.%3.%4.%5"/>
      <w:lvlJc w:val="left"/>
      <w:pPr>
        <w:ind w:left="1080" w:hanging="1080"/>
      </w:pPr>
      <w:rPr>
        <w:rFonts w:asciiTheme="majorHAnsi" w:hAnsiTheme="majorHAnsi" w:cstheme="majorBidi" w:hint="default"/>
      </w:rPr>
    </w:lvl>
    <w:lvl w:ilvl="5">
      <w:start w:val="1"/>
      <w:numFmt w:val="decimal"/>
      <w:lvlText w:val="%1.%2.%3.%4.%5.%6"/>
      <w:lvlJc w:val="left"/>
      <w:pPr>
        <w:ind w:left="1440" w:hanging="1440"/>
      </w:pPr>
      <w:rPr>
        <w:rFonts w:asciiTheme="majorHAnsi" w:hAnsiTheme="majorHAnsi" w:cstheme="majorBidi" w:hint="default"/>
      </w:rPr>
    </w:lvl>
    <w:lvl w:ilvl="6">
      <w:start w:val="1"/>
      <w:numFmt w:val="decimal"/>
      <w:lvlText w:val="%1.%2.%3.%4.%5.%6.%7"/>
      <w:lvlJc w:val="left"/>
      <w:pPr>
        <w:ind w:left="1440" w:hanging="1440"/>
      </w:pPr>
      <w:rPr>
        <w:rFonts w:asciiTheme="majorHAnsi" w:hAnsiTheme="majorHAnsi" w:cstheme="majorBidi" w:hint="default"/>
      </w:rPr>
    </w:lvl>
    <w:lvl w:ilvl="7">
      <w:start w:val="1"/>
      <w:numFmt w:val="decimal"/>
      <w:lvlText w:val="%1.%2.%3.%4.%5.%6.%7.%8"/>
      <w:lvlJc w:val="left"/>
      <w:pPr>
        <w:ind w:left="1800" w:hanging="1800"/>
      </w:pPr>
      <w:rPr>
        <w:rFonts w:asciiTheme="majorHAnsi" w:hAnsiTheme="majorHAnsi" w:cstheme="majorBidi" w:hint="default"/>
      </w:rPr>
    </w:lvl>
    <w:lvl w:ilvl="8">
      <w:start w:val="1"/>
      <w:numFmt w:val="decimal"/>
      <w:lvlText w:val="%1.%2.%3.%4.%5.%6.%7.%8.%9"/>
      <w:lvlJc w:val="left"/>
      <w:pPr>
        <w:ind w:left="1800" w:hanging="1800"/>
      </w:pPr>
      <w:rPr>
        <w:rFonts w:asciiTheme="majorHAnsi" w:hAnsiTheme="majorHAnsi" w:cstheme="majorBidi" w:hint="default"/>
      </w:rPr>
    </w:lvl>
  </w:abstractNum>
  <w:abstractNum w:abstractNumId="6" w15:restartNumberingAfterBreak="0">
    <w:nsid w:val="2C822E7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813805"/>
    <w:multiLevelType w:val="hybridMultilevel"/>
    <w:tmpl w:val="FFCCC27E"/>
    <w:lvl w:ilvl="0" w:tplc="6034125E">
      <w:start w:val="5"/>
      <w:numFmt w:val="bullet"/>
      <w:lvlText w:val=""/>
      <w:lvlJc w:val="left"/>
      <w:pPr>
        <w:ind w:left="720" w:hanging="360"/>
      </w:pPr>
      <w:rPr>
        <w:rFonts w:ascii="Symbol" w:eastAsiaTheme="maj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54839"/>
    <w:multiLevelType w:val="hybridMultilevel"/>
    <w:tmpl w:val="4BD4579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2113DD"/>
    <w:multiLevelType w:val="hybridMultilevel"/>
    <w:tmpl w:val="7B20EA08"/>
    <w:lvl w:ilvl="0" w:tplc="0C09000F">
      <w:start w:val="1"/>
      <w:numFmt w:val="decimal"/>
      <w:lvlText w:val="%1."/>
      <w:lvlJc w:val="left"/>
      <w:pPr>
        <w:ind w:left="1440" w:hanging="360"/>
      </w:pPr>
      <w:rPr>
        <w:rFonts w:hint="default"/>
      </w:rPr>
    </w:lvl>
    <w:lvl w:ilvl="1" w:tplc="0C090001">
      <w:start w:val="1"/>
      <w:numFmt w:val="bullet"/>
      <w:lvlText w:val=""/>
      <w:lvlJc w:val="left"/>
      <w:pPr>
        <w:ind w:left="2160" w:hanging="360"/>
      </w:pPr>
      <w:rPr>
        <w:rFonts w:ascii="Symbol" w:hAnsi="Symbo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CEB05E5"/>
    <w:multiLevelType w:val="hybridMultilevel"/>
    <w:tmpl w:val="B4C2E9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132B20"/>
    <w:multiLevelType w:val="hybridMultilevel"/>
    <w:tmpl w:val="366A02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7C3B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B33587"/>
    <w:multiLevelType w:val="hybridMultilevel"/>
    <w:tmpl w:val="BB648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8A5C4B"/>
    <w:multiLevelType w:val="hybridMultilevel"/>
    <w:tmpl w:val="0A8CE784"/>
    <w:lvl w:ilvl="0" w:tplc="6DCC8A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FE17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2"/>
  </w:num>
  <w:num w:numId="4">
    <w:abstractNumId w:val="0"/>
  </w:num>
  <w:num w:numId="5">
    <w:abstractNumId w:val="1"/>
  </w:num>
  <w:num w:numId="6">
    <w:abstractNumId w:val="4"/>
  </w:num>
  <w:num w:numId="7">
    <w:abstractNumId w:val="5"/>
  </w:num>
  <w:num w:numId="8">
    <w:abstractNumId w:val="15"/>
  </w:num>
  <w:num w:numId="9">
    <w:abstractNumId w:val="12"/>
  </w:num>
  <w:num w:numId="10">
    <w:abstractNumId w:val="8"/>
  </w:num>
  <w:num w:numId="11">
    <w:abstractNumId w:val="6"/>
  </w:num>
  <w:num w:numId="12">
    <w:abstractNumId w:val="14"/>
  </w:num>
  <w:num w:numId="13">
    <w:abstractNumId w:val="14"/>
  </w:num>
  <w:num w:numId="14">
    <w:abstractNumId w:val="11"/>
  </w:num>
  <w:num w:numId="15">
    <w:abstractNumId w:val="14"/>
  </w:num>
  <w:num w:numId="16">
    <w:abstractNumId w:val="14"/>
    <w:lvlOverride w:ilvl="0">
      <w:startOverride w:val="1"/>
    </w:lvlOverride>
  </w:num>
  <w:num w:numId="17">
    <w:abstractNumId w:val="14"/>
  </w:num>
  <w:num w:numId="18">
    <w:abstractNumId w:val="14"/>
    <w:lvlOverride w:ilvl="0">
      <w:startOverride w:val="1"/>
    </w:lvlOverride>
  </w:num>
  <w:num w:numId="19">
    <w:abstractNumId w:val="13"/>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E"/>
    <w:rsid w:val="00002AE5"/>
    <w:rsid w:val="00003FC5"/>
    <w:rsid w:val="00004DEB"/>
    <w:rsid w:val="00013277"/>
    <w:rsid w:val="000228F7"/>
    <w:rsid w:val="00024B56"/>
    <w:rsid w:val="00031155"/>
    <w:rsid w:val="00035771"/>
    <w:rsid w:val="00050E3C"/>
    <w:rsid w:val="00051C6B"/>
    <w:rsid w:val="0006445D"/>
    <w:rsid w:val="00074C70"/>
    <w:rsid w:val="00080EFE"/>
    <w:rsid w:val="00086A6F"/>
    <w:rsid w:val="00095A1E"/>
    <w:rsid w:val="00097673"/>
    <w:rsid w:val="000A0346"/>
    <w:rsid w:val="000A3875"/>
    <w:rsid w:val="000A3A2A"/>
    <w:rsid w:val="000B2A29"/>
    <w:rsid w:val="000B6F93"/>
    <w:rsid w:val="000C643F"/>
    <w:rsid w:val="000D5E31"/>
    <w:rsid w:val="000E19F4"/>
    <w:rsid w:val="000E425D"/>
    <w:rsid w:val="000E6CD2"/>
    <w:rsid w:val="000F15E9"/>
    <w:rsid w:val="000F47FC"/>
    <w:rsid w:val="001073BD"/>
    <w:rsid w:val="00113929"/>
    <w:rsid w:val="00113F8D"/>
    <w:rsid w:val="00115056"/>
    <w:rsid w:val="0011674C"/>
    <w:rsid w:val="00117401"/>
    <w:rsid w:val="00117E90"/>
    <w:rsid w:val="00133F36"/>
    <w:rsid w:val="00134E73"/>
    <w:rsid w:val="00135BB5"/>
    <w:rsid w:val="00164D75"/>
    <w:rsid w:val="001658DC"/>
    <w:rsid w:val="00182949"/>
    <w:rsid w:val="001A19CE"/>
    <w:rsid w:val="001A6393"/>
    <w:rsid w:val="001B3A55"/>
    <w:rsid w:val="001B3F37"/>
    <w:rsid w:val="001C3810"/>
    <w:rsid w:val="001D6DB1"/>
    <w:rsid w:val="001E0202"/>
    <w:rsid w:val="001F229A"/>
    <w:rsid w:val="001F4687"/>
    <w:rsid w:val="001F56E1"/>
    <w:rsid w:val="0020193C"/>
    <w:rsid w:val="00205CF3"/>
    <w:rsid w:val="00213329"/>
    <w:rsid w:val="00214FD3"/>
    <w:rsid w:val="00217FCA"/>
    <w:rsid w:val="00230782"/>
    <w:rsid w:val="00236B0C"/>
    <w:rsid w:val="00260B74"/>
    <w:rsid w:val="00260EC7"/>
    <w:rsid w:val="00261438"/>
    <w:rsid w:val="00261AB1"/>
    <w:rsid w:val="002707EF"/>
    <w:rsid w:val="00270D20"/>
    <w:rsid w:val="00290762"/>
    <w:rsid w:val="00292E2A"/>
    <w:rsid w:val="002A1853"/>
    <w:rsid w:val="002A77AB"/>
    <w:rsid w:val="002E2A86"/>
    <w:rsid w:val="002F0E51"/>
    <w:rsid w:val="002F25E0"/>
    <w:rsid w:val="002F557A"/>
    <w:rsid w:val="002F783D"/>
    <w:rsid w:val="003035BA"/>
    <w:rsid w:val="0030799A"/>
    <w:rsid w:val="00312692"/>
    <w:rsid w:val="0031672D"/>
    <w:rsid w:val="00324B20"/>
    <w:rsid w:val="00324B4C"/>
    <w:rsid w:val="00345D45"/>
    <w:rsid w:val="00356D6D"/>
    <w:rsid w:val="00357E8B"/>
    <w:rsid w:val="0037269C"/>
    <w:rsid w:val="00375D79"/>
    <w:rsid w:val="00381B7A"/>
    <w:rsid w:val="003867AE"/>
    <w:rsid w:val="00394E47"/>
    <w:rsid w:val="003A2EC2"/>
    <w:rsid w:val="003A4E33"/>
    <w:rsid w:val="003B19CB"/>
    <w:rsid w:val="003B1C4D"/>
    <w:rsid w:val="003C449B"/>
    <w:rsid w:val="003D2C86"/>
    <w:rsid w:val="003F0381"/>
    <w:rsid w:val="003F2BB9"/>
    <w:rsid w:val="003F4E90"/>
    <w:rsid w:val="0040104F"/>
    <w:rsid w:val="00430297"/>
    <w:rsid w:val="0044177F"/>
    <w:rsid w:val="00450CDB"/>
    <w:rsid w:val="004514E2"/>
    <w:rsid w:val="00452B43"/>
    <w:rsid w:val="00463BA0"/>
    <w:rsid w:val="0046504A"/>
    <w:rsid w:val="00490591"/>
    <w:rsid w:val="004922AA"/>
    <w:rsid w:val="00496494"/>
    <w:rsid w:val="004B4D05"/>
    <w:rsid w:val="004D4C4C"/>
    <w:rsid w:val="004D5B33"/>
    <w:rsid w:val="004D7A9C"/>
    <w:rsid w:val="004E13EB"/>
    <w:rsid w:val="004E158C"/>
    <w:rsid w:val="004F0A18"/>
    <w:rsid w:val="004F282A"/>
    <w:rsid w:val="004F3548"/>
    <w:rsid w:val="00506FF9"/>
    <w:rsid w:val="0050768A"/>
    <w:rsid w:val="00520600"/>
    <w:rsid w:val="00524F21"/>
    <w:rsid w:val="00525E78"/>
    <w:rsid w:val="00541437"/>
    <w:rsid w:val="00552FF3"/>
    <w:rsid w:val="00554265"/>
    <w:rsid w:val="005652A9"/>
    <w:rsid w:val="00571DD3"/>
    <w:rsid w:val="00581EAD"/>
    <w:rsid w:val="00582B4E"/>
    <w:rsid w:val="00596445"/>
    <w:rsid w:val="005966B8"/>
    <w:rsid w:val="005A2654"/>
    <w:rsid w:val="005A31C5"/>
    <w:rsid w:val="005A45A2"/>
    <w:rsid w:val="005D0FC6"/>
    <w:rsid w:val="005D5364"/>
    <w:rsid w:val="005D5A84"/>
    <w:rsid w:val="005D70ED"/>
    <w:rsid w:val="005D7D4A"/>
    <w:rsid w:val="005F1607"/>
    <w:rsid w:val="005F1CBA"/>
    <w:rsid w:val="005F300B"/>
    <w:rsid w:val="00607C17"/>
    <w:rsid w:val="00610C76"/>
    <w:rsid w:val="0061384C"/>
    <w:rsid w:val="00613F11"/>
    <w:rsid w:val="00614500"/>
    <w:rsid w:val="00614967"/>
    <w:rsid w:val="00633E9D"/>
    <w:rsid w:val="00642D52"/>
    <w:rsid w:val="00643168"/>
    <w:rsid w:val="00645EB6"/>
    <w:rsid w:val="00645FF1"/>
    <w:rsid w:val="00646944"/>
    <w:rsid w:val="00651EF1"/>
    <w:rsid w:val="00653CB2"/>
    <w:rsid w:val="00662E96"/>
    <w:rsid w:val="00671E2C"/>
    <w:rsid w:val="00674C26"/>
    <w:rsid w:val="00680750"/>
    <w:rsid w:val="0068317A"/>
    <w:rsid w:val="00690361"/>
    <w:rsid w:val="006921DF"/>
    <w:rsid w:val="0069366A"/>
    <w:rsid w:val="00694FDE"/>
    <w:rsid w:val="006A1E05"/>
    <w:rsid w:val="006A2DF2"/>
    <w:rsid w:val="006C0B3C"/>
    <w:rsid w:val="006C72EF"/>
    <w:rsid w:val="006D423F"/>
    <w:rsid w:val="006D5841"/>
    <w:rsid w:val="006E14A6"/>
    <w:rsid w:val="006F321F"/>
    <w:rsid w:val="006F77DA"/>
    <w:rsid w:val="007032D6"/>
    <w:rsid w:val="007043BE"/>
    <w:rsid w:val="0071119F"/>
    <w:rsid w:val="0071373F"/>
    <w:rsid w:val="00725F07"/>
    <w:rsid w:val="00742C97"/>
    <w:rsid w:val="00762166"/>
    <w:rsid w:val="00766571"/>
    <w:rsid w:val="007744F1"/>
    <w:rsid w:val="00783E38"/>
    <w:rsid w:val="007851B7"/>
    <w:rsid w:val="00796342"/>
    <w:rsid w:val="007A0DD7"/>
    <w:rsid w:val="007B4582"/>
    <w:rsid w:val="007C7DD8"/>
    <w:rsid w:val="007D1C7F"/>
    <w:rsid w:val="007D73D4"/>
    <w:rsid w:val="007E5D3C"/>
    <w:rsid w:val="007F415E"/>
    <w:rsid w:val="008119C2"/>
    <w:rsid w:val="0081339A"/>
    <w:rsid w:val="00853505"/>
    <w:rsid w:val="00856EDB"/>
    <w:rsid w:val="00867EA8"/>
    <w:rsid w:val="00872963"/>
    <w:rsid w:val="00876551"/>
    <w:rsid w:val="00897C0D"/>
    <w:rsid w:val="008A2FA7"/>
    <w:rsid w:val="008B5366"/>
    <w:rsid w:val="008D346E"/>
    <w:rsid w:val="008D4230"/>
    <w:rsid w:val="008E0AEB"/>
    <w:rsid w:val="008E100C"/>
    <w:rsid w:val="008E32CB"/>
    <w:rsid w:val="008E3A68"/>
    <w:rsid w:val="008F7A05"/>
    <w:rsid w:val="00902760"/>
    <w:rsid w:val="00913257"/>
    <w:rsid w:val="00920A92"/>
    <w:rsid w:val="00926207"/>
    <w:rsid w:val="00934A80"/>
    <w:rsid w:val="00942F8E"/>
    <w:rsid w:val="00947DA0"/>
    <w:rsid w:val="00950DB5"/>
    <w:rsid w:val="00955AEF"/>
    <w:rsid w:val="00966FE7"/>
    <w:rsid w:val="0097181D"/>
    <w:rsid w:val="00974273"/>
    <w:rsid w:val="009779A6"/>
    <w:rsid w:val="009812C9"/>
    <w:rsid w:val="009914A6"/>
    <w:rsid w:val="00995CD7"/>
    <w:rsid w:val="009A17B7"/>
    <w:rsid w:val="009A2D0E"/>
    <w:rsid w:val="009A3A06"/>
    <w:rsid w:val="009C384F"/>
    <w:rsid w:val="009E5FE1"/>
    <w:rsid w:val="00A03EA3"/>
    <w:rsid w:val="00A07BF3"/>
    <w:rsid w:val="00A13E4A"/>
    <w:rsid w:val="00A33FE7"/>
    <w:rsid w:val="00A34FCE"/>
    <w:rsid w:val="00A35813"/>
    <w:rsid w:val="00A45B03"/>
    <w:rsid w:val="00A61E74"/>
    <w:rsid w:val="00A6419B"/>
    <w:rsid w:val="00A81F5A"/>
    <w:rsid w:val="00AB10E1"/>
    <w:rsid w:val="00AB4EAB"/>
    <w:rsid w:val="00AB5245"/>
    <w:rsid w:val="00AC77EE"/>
    <w:rsid w:val="00AC7FD3"/>
    <w:rsid w:val="00AD0205"/>
    <w:rsid w:val="00AD1005"/>
    <w:rsid w:val="00AD3D0C"/>
    <w:rsid w:val="00AD7B00"/>
    <w:rsid w:val="00AE019F"/>
    <w:rsid w:val="00AE6641"/>
    <w:rsid w:val="00B00660"/>
    <w:rsid w:val="00B018CF"/>
    <w:rsid w:val="00B03163"/>
    <w:rsid w:val="00B039F7"/>
    <w:rsid w:val="00B040F7"/>
    <w:rsid w:val="00B100FB"/>
    <w:rsid w:val="00B1257C"/>
    <w:rsid w:val="00B33523"/>
    <w:rsid w:val="00B33889"/>
    <w:rsid w:val="00B36A68"/>
    <w:rsid w:val="00B422B4"/>
    <w:rsid w:val="00B42BE4"/>
    <w:rsid w:val="00B43F64"/>
    <w:rsid w:val="00B61ECE"/>
    <w:rsid w:val="00B62C34"/>
    <w:rsid w:val="00B71B59"/>
    <w:rsid w:val="00B72742"/>
    <w:rsid w:val="00B7619C"/>
    <w:rsid w:val="00B770D6"/>
    <w:rsid w:val="00B809A1"/>
    <w:rsid w:val="00B846A7"/>
    <w:rsid w:val="00B97724"/>
    <w:rsid w:val="00BB2991"/>
    <w:rsid w:val="00BB4330"/>
    <w:rsid w:val="00BC298C"/>
    <w:rsid w:val="00BF09F5"/>
    <w:rsid w:val="00C02A5C"/>
    <w:rsid w:val="00C036A6"/>
    <w:rsid w:val="00C03D65"/>
    <w:rsid w:val="00C04788"/>
    <w:rsid w:val="00C15677"/>
    <w:rsid w:val="00C26B82"/>
    <w:rsid w:val="00C318ED"/>
    <w:rsid w:val="00C374BD"/>
    <w:rsid w:val="00C5224C"/>
    <w:rsid w:val="00C52A36"/>
    <w:rsid w:val="00C608AC"/>
    <w:rsid w:val="00C67406"/>
    <w:rsid w:val="00C70EEE"/>
    <w:rsid w:val="00C80692"/>
    <w:rsid w:val="00C949E4"/>
    <w:rsid w:val="00CB2FA0"/>
    <w:rsid w:val="00CD0A1E"/>
    <w:rsid w:val="00CD2C49"/>
    <w:rsid w:val="00CD445C"/>
    <w:rsid w:val="00CE72FF"/>
    <w:rsid w:val="00D02DA8"/>
    <w:rsid w:val="00D05F89"/>
    <w:rsid w:val="00D11846"/>
    <w:rsid w:val="00D1789D"/>
    <w:rsid w:val="00D23DFA"/>
    <w:rsid w:val="00D41508"/>
    <w:rsid w:val="00D4797D"/>
    <w:rsid w:val="00D5269E"/>
    <w:rsid w:val="00D5520E"/>
    <w:rsid w:val="00D61AED"/>
    <w:rsid w:val="00D665A4"/>
    <w:rsid w:val="00D674CF"/>
    <w:rsid w:val="00D95115"/>
    <w:rsid w:val="00DA1375"/>
    <w:rsid w:val="00DB2D4F"/>
    <w:rsid w:val="00DB3F5E"/>
    <w:rsid w:val="00DB7EA6"/>
    <w:rsid w:val="00DC0A54"/>
    <w:rsid w:val="00DC41FB"/>
    <w:rsid w:val="00DC5310"/>
    <w:rsid w:val="00DC6823"/>
    <w:rsid w:val="00E025EE"/>
    <w:rsid w:val="00E05D0C"/>
    <w:rsid w:val="00E10B6A"/>
    <w:rsid w:val="00E1589C"/>
    <w:rsid w:val="00E21226"/>
    <w:rsid w:val="00E27D30"/>
    <w:rsid w:val="00E50BFA"/>
    <w:rsid w:val="00E52564"/>
    <w:rsid w:val="00E60E6C"/>
    <w:rsid w:val="00E67C36"/>
    <w:rsid w:val="00E67D50"/>
    <w:rsid w:val="00E7788F"/>
    <w:rsid w:val="00E77BFD"/>
    <w:rsid w:val="00E9102F"/>
    <w:rsid w:val="00EA1B3D"/>
    <w:rsid w:val="00EB432D"/>
    <w:rsid w:val="00EB53C3"/>
    <w:rsid w:val="00EB7EEF"/>
    <w:rsid w:val="00ED6DCF"/>
    <w:rsid w:val="00ED74AF"/>
    <w:rsid w:val="00EF3EB5"/>
    <w:rsid w:val="00F01ADE"/>
    <w:rsid w:val="00F07627"/>
    <w:rsid w:val="00F23CDF"/>
    <w:rsid w:val="00F24928"/>
    <w:rsid w:val="00F42F4F"/>
    <w:rsid w:val="00F44845"/>
    <w:rsid w:val="00F540B7"/>
    <w:rsid w:val="00F54EDE"/>
    <w:rsid w:val="00F7534D"/>
    <w:rsid w:val="00F761C7"/>
    <w:rsid w:val="00F86FC9"/>
    <w:rsid w:val="00F92216"/>
    <w:rsid w:val="00F97771"/>
    <w:rsid w:val="00FA4D40"/>
    <w:rsid w:val="00FA610D"/>
    <w:rsid w:val="00FA6694"/>
    <w:rsid w:val="00FA7EC5"/>
    <w:rsid w:val="00FB4BAE"/>
    <w:rsid w:val="00FD17B9"/>
    <w:rsid w:val="00FE6A22"/>
    <w:rsid w:val="00FF6424"/>
    <w:rsid w:val="00FF7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30A55D1C"/>
  <w15:docId w15:val="{53EC9F95-5216-4BD5-B535-58BC8D58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55"/>
    <w:pPr>
      <w:spacing w:line="264" w:lineRule="auto"/>
    </w:pPr>
  </w:style>
  <w:style w:type="paragraph" w:styleId="Heading1">
    <w:name w:val="heading 1"/>
    <w:basedOn w:val="Normal"/>
    <w:next w:val="Normal"/>
    <w:link w:val="Heading1Char"/>
    <w:autoRedefine/>
    <w:uiPriority w:val="9"/>
    <w:qFormat/>
    <w:rsid w:val="00463BA0"/>
    <w:pPr>
      <w:keepNext/>
      <w:keepLines/>
      <w:widowControl w:val="0"/>
      <w:spacing w:before="240" w:after="120" w:line="276" w:lineRule="auto"/>
      <w:outlineLvl w:val="0"/>
    </w:pPr>
    <w:rPr>
      <w:rFonts w:ascii="Open Sans" w:eastAsiaTheme="majorEastAsia" w:hAnsi="Open Sans" w:cs="Open Sans"/>
      <w:b/>
      <w:bCs/>
      <w:color w:val="C4141B" w:themeColor="accent1"/>
      <w:sz w:val="24"/>
      <w:szCs w:val="24"/>
      <w:lang w:bidi="en-US"/>
    </w:rPr>
  </w:style>
  <w:style w:type="paragraph" w:styleId="Heading2">
    <w:name w:val="heading 2"/>
    <w:basedOn w:val="Normal"/>
    <w:next w:val="Normal"/>
    <w:link w:val="Heading2Char"/>
    <w:autoRedefine/>
    <w:uiPriority w:val="9"/>
    <w:unhideWhenUsed/>
    <w:qFormat/>
    <w:rsid w:val="00E27D30"/>
    <w:pPr>
      <w:keepNext/>
      <w:keepLines/>
      <w:spacing w:before="200" w:after="0" w:line="276" w:lineRule="auto"/>
      <w:outlineLvl w:val="1"/>
    </w:pPr>
    <w:rPr>
      <w:rFonts w:asciiTheme="majorHAnsi" w:eastAsiaTheme="majorEastAsia" w:hAnsiTheme="majorHAnsi" w:cstheme="majorBidi"/>
      <w:b/>
      <w:bCs/>
      <w:color w:val="C4141B" w:themeColor="accent1"/>
      <w:sz w:val="24"/>
      <w:szCs w:val="26"/>
      <w:lang w:bidi="en-US"/>
    </w:rPr>
  </w:style>
  <w:style w:type="paragraph" w:styleId="Heading3">
    <w:name w:val="heading 3"/>
    <w:basedOn w:val="Normal"/>
    <w:next w:val="Normal"/>
    <w:link w:val="Heading3Char"/>
    <w:uiPriority w:val="9"/>
    <w:unhideWhenUsed/>
    <w:qFormat/>
    <w:rsid w:val="002707EF"/>
    <w:pPr>
      <w:keepNext/>
      <w:keepLines/>
      <w:spacing w:before="200" w:after="0" w:line="276" w:lineRule="auto"/>
      <w:outlineLvl w:val="2"/>
    </w:pPr>
    <w:rPr>
      <w:rFonts w:asciiTheme="majorHAnsi" w:eastAsiaTheme="majorEastAsia" w:hAnsiTheme="majorHAnsi" w:cstheme="majorBidi"/>
      <w:bCs/>
      <w:color w:val="C4141B"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80692"/>
    <w:pPr>
      <w:spacing w:after="0" w:line="240" w:lineRule="auto"/>
      <w:contextualSpacing/>
    </w:pPr>
    <w:rPr>
      <w:rFonts w:ascii="Open Sans" w:eastAsiaTheme="majorEastAsia" w:hAnsi="Open Sans" w:cs="Open Sans"/>
      <w:b/>
      <w:color w:val="2F2F2F" w:themeColor="text2" w:themeShade="BF"/>
      <w:spacing w:val="5"/>
      <w:kern w:val="28"/>
      <w:sz w:val="36"/>
      <w:szCs w:val="36"/>
      <w:lang w:bidi="en-US"/>
    </w:rPr>
  </w:style>
  <w:style w:type="character" w:customStyle="1" w:styleId="TitleChar">
    <w:name w:val="Title Char"/>
    <w:basedOn w:val="DefaultParagraphFont"/>
    <w:link w:val="Title"/>
    <w:uiPriority w:val="10"/>
    <w:rsid w:val="00C80692"/>
    <w:rPr>
      <w:rFonts w:ascii="Open Sans" w:eastAsiaTheme="majorEastAsia" w:hAnsi="Open Sans" w:cs="Open Sans"/>
      <w:b/>
      <w:color w:val="2F2F2F" w:themeColor="text2" w:themeShade="BF"/>
      <w:spacing w:val="5"/>
      <w:kern w:val="28"/>
      <w:sz w:val="36"/>
      <w:szCs w:val="36"/>
      <w:lang w:bidi="en-US"/>
    </w:rPr>
  </w:style>
  <w:style w:type="paragraph" w:styleId="DocumentMap">
    <w:name w:val="Document Map"/>
    <w:basedOn w:val="Normal"/>
    <w:link w:val="DocumentMapChar"/>
    <w:uiPriority w:val="99"/>
    <w:semiHidden/>
    <w:unhideWhenUsed/>
    <w:rsid w:val="00B727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2742"/>
    <w:rPr>
      <w:rFonts w:ascii="Tahoma" w:eastAsiaTheme="minorEastAsia" w:hAnsi="Tahoma" w:cs="Tahoma"/>
      <w:sz w:val="16"/>
      <w:szCs w:val="16"/>
      <w:lang w:bidi="en-US"/>
    </w:rPr>
  </w:style>
  <w:style w:type="paragraph" w:styleId="BalloonText">
    <w:name w:val="Balloon Text"/>
    <w:basedOn w:val="Normal"/>
    <w:link w:val="BalloonTextChar"/>
    <w:uiPriority w:val="99"/>
    <w:semiHidden/>
    <w:unhideWhenUsed/>
    <w:rsid w:val="0094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A0"/>
    <w:rPr>
      <w:rFonts w:ascii="Tahoma" w:eastAsiaTheme="minorEastAsia" w:hAnsi="Tahoma" w:cs="Tahoma"/>
      <w:sz w:val="16"/>
      <w:szCs w:val="16"/>
      <w:lang w:bidi="en-US"/>
    </w:rPr>
  </w:style>
  <w:style w:type="character" w:customStyle="1" w:styleId="Heading1Char">
    <w:name w:val="Heading 1 Char"/>
    <w:basedOn w:val="DefaultParagraphFont"/>
    <w:link w:val="Heading1"/>
    <w:uiPriority w:val="9"/>
    <w:rsid w:val="00463BA0"/>
    <w:rPr>
      <w:rFonts w:ascii="Open Sans" w:eastAsiaTheme="majorEastAsia" w:hAnsi="Open Sans" w:cs="Open Sans"/>
      <w:b/>
      <w:bCs/>
      <w:color w:val="C4141B" w:themeColor="accent1"/>
      <w:sz w:val="24"/>
      <w:szCs w:val="24"/>
      <w:lang w:bidi="en-US"/>
    </w:rPr>
  </w:style>
  <w:style w:type="paragraph" w:styleId="Header">
    <w:name w:val="header"/>
    <w:basedOn w:val="Normal"/>
    <w:link w:val="HeaderChar"/>
    <w:uiPriority w:val="99"/>
    <w:unhideWhenUsed/>
    <w:rsid w:val="00214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D3"/>
    <w:rPr>
      <w:rFonts w:ascii="Verdana" w:eastAsiaTheme="minorEastAsia" w:hAnsi="Verdana"/>
      <w:lang w:bidi="en-US"/>
    </w:rPr>
  </w:style>
  <w:style w:type="paragraph" w:styleId="Footer">
    <w:name w:val="footer"/>
    <w:basedOn w:val="Normal"/>
    <w:link w:val="FooterChar"/>
    <w:uiPriority w:val="99"/>
    <w:unhideWhenUsed/>
    <w:rsid w:val="00214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D3"/>
    <w:rPr>
      <w:rFonts w:ascii="Verdana" w:eastAsiaTheme="minorEastAsia" w:hAnsi="Verdana"/>
      <w:lang w:bidi="en-US"/>
    </w:rPr>
  </w:style>
  <w:style w:type="table" w:styleId="TableGrid">
    <w:name w:val="Table Grid"/>
    <w:basedOn w:val="TableNormal"/>
    <w:uiPriority w:val="59"/>
    <w:rsid w:val="00DC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6823"/>
    <w:pPr>
      <w:spacing w:after="0" w:line="240" w:lineRule="auto"/>
    </w:pPr>
    <w:rPr>
      <w:rFonts w:ascii="Verdana" w:eastAsiaTheme="minorEastAsia" w:hAnsi="Verdana"/>
      <w:lang w:bidi="en-US"/>
    </w:rPr>
  </w:style>
  <w:style w:type="character" w:customStyle="1" w:styleId="Heading2Char">
    <w:name w:val="Heading 2 Char"/>
    <w:basedOn w:val="DefaultParagraphFont"/>
    <w:link w:val="Heading2"/>
    <w:uiPriority w:val="9"/>
    <w:rsid w:val="00E27D30"/>
    <w:rPr>
      <w:rFonts w:asciiTheme="majorHAnsi" w:eastAsiaTheme="majorEastAsia" w:hAnsiTheme="majorHAnsi" w:cstheme="majorBidi"/>
      <w:b/>
      <w:bCs/>
      <w:color w:val="C4141B" w:themeColor="accent1"/>
      <w:sz w:val="24"/>
      <w:szCs w:val="26"/>
      <w:lang w:bidi="en-US"/>
    </w:rPr>
  </w:style>
  <w:style w:type="character" w:customStyle="1" w:styleId="Heading3Char">
    <w:name w:val="Heading 3 Char"/>
    <w:basedOn w:val="DefaultParagraphFont"/>
    <w:link w:val="Heading3"/>
    <w:uiPriority w:val="9"/>
    <w:rsid w:val="002707EF"/>
    <w:rPr>
      <w:rFonts w:asciiTheme="majorHAnsi" w:eastAsiaTheme="majorEastAsia" w:hAnsiTheme="majorHAnsi" w:cstheme="majorBidi"/>
      <w:bCs/>
      <w:color w:val="C4141B" w:themeColor="accent1"/>
      <w:lang w:bidi="en-US"/>
    </w:rPr>
  </w:style>
  <w:style w:type="paragraph" w:styleId="ListParagraph">
    <w:name w:val="List Paragraph"/>
    <w:basedOn w:val="Normal"/>
    <w:uiPriority w:val="34"/>
    <w:qFormat/>
    <w:rsid w:val="00FD17B9"/>
    <w:pPr>
      <w:ind w:left="720"/>
      <w:contextualSpacing/>
    </w:pPr>
  </w:style>
  <w:style w:type="paragraph" w:styleId="FootnoteText">
    <w:name w:val="footnote text"/>
    <w:aliases w:val="Char,Footnote Text Char Char,Footnote Text Char1 Char Char,Footnote Text Char Char Char Char,Footnote Text Char Char1 Char Char Char,Footnote Text Char Char1 Char Char Char Char Ch Char,Footnote Text Char Char1 Char,ft"/>
    <w:basedOn w:val="Normal"/>
    <w:link w:val="FootnoteTextChar"/>
    <w:uiPriority w:val="99"/>
    <w:unhideWhenUsed/>
    <w:rsid w:val="00115056"/>
    <w:pPr>
      <w:spacing w:after="0" w:line="240" w:lineRule="auto"/>
    </w:pPr>
    <w:rPr>
      <w:sz w:val="18"/>
      <w:szCs w:val="20"/>
    </w:rPr>
  </w:style>
  <w:style w:type="character" w:customStyle="1" w:styleId="FootnoteTextChar">
    <w:name w:val="Footnote Text Char"/>
    <w:aliases w:val="Char Char,Footnote Text Char Char Char,Footnote Text Char1 Char Char Char,Footnote Text Char Char Char Char Char,Footnote Text Char Char1 Char Char Char Char,Footnote Text Char Char1 Char Char Char Char Ch Char Char,ft Char"/>
    <w:basedOn w:val="DefaultParagraphFont"/>
    <w:link w:val="FootnoteText"/>
    <w:uiPriority w:val="99"/>
    <w:rsid w:val="00115056"/>
    <w:rPr>
      <w:rFonts w:ascii="Verdana" w:eastAsiaTheme="minorEastAsia" w:hAnsi="Verdana"/>
      <w:sz w:val="18"/>
      <w:szCs w:val="20"/>
      <w:lang w:bidi="en-US"/>
    </w:rPr>
  </w:style>
  <w:style w:type="character" w:styleId="FootnoteReference">
    <w:name w:val="footnote reference"/>
    <w:aliases w:val="16 Point,Superscript 6 Point,BVI fnr Char Char Char Char Char,BVI fnr Car Car Char Char Char Char Char,BVI fnr Car Char Char Char Char Char,BVI fnr Car Car Car Car Char Char Char Char Char,4_G,Footnote number,Footnotes refss,BVI fnr"/>
    <w:basedOn w:val="DefaultParagraphFont"/>
    <w:link w:val="BVIfnrCharCharCharChar"/>
    <w:uiPriority w:val="99"/>
    <w:unhideWhenUsed/>
    <w:rsid w:val="00115056"/>
    <w:rPr>
      <w:vertAlign w:val="superscript"/>
    </w:rPr>
  </w:style>
  <w:style w:type="paragraph" w:styleId="EndnoteText">
    <w:name w:val="endnote text"/>
    <w:basedOn w:val="Normal"/>
    <w:link w:val="EndnoteTextChar"/>
    <w:uiPriority w:val="99"/>
    <w:semiHidden/>
    <w:unhideWhenUsed/>
    <w:rsid w:val="00671E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E2C"/>
    <w:rPr>
      <w:rFonts w:ascii="Verdana" w:eastAsiaTheme="minorEastAsia" w:hAnsi="Verdana"/>
      <w:sz w:val="20"/>
      <w:szCs w:val="20"/>
      <w:lang w:bidi="en-US"/>
    </w:rPr>
  </w:style>
  <w:style w:type="character" w:styleId="EndnoteReference">
    <w:name w:val="endnote reference"/>
    <w:basedOn w:val="DefaultParagraphFont"/>
    <w:uiPriority w:val="99"/>
    <w:semiHidden/>
    <w:unhideWhenUsed/>
    <w:rsid w:val="00671E2C"/>
    <w:rPr>
      <w:vertAlign w:val="superscript"/>
    </w:rPr>
  </w:style>
  <w:style w:type="character" w:styleId="Hyperlink">
    <w:name w:val="Hyperlink"/>
    <w:basedOn w:val="DefaultParagraphFont"/>
    <w:uiPriority w:val="99"/>
    <w:unhideWhenUsed/>
    <w:rsid w:val="002707EF"/>
    <w:rPr>
      <w:color w:val="930E14" w:themeColor="hyperlink"/>
      <w:u w:val="single"/>
    </w:rPr>
  </w:style>
  <w:style w:type="paragraph" w:styleId="Subtitle">
    <w:name w:val="Subtitle"/>
    <w:basedOn w:val="Normal"/>
    <w:next w:val="Normal"/>
    <w:link w:val="SubtitleChar"/>
    <w:uiPriority w:val="11"/>
    <w:qFormat/>
    <w:rsid w:val="00607C17"/>
    <w:pPr>
      <w:numPr>
        <w:ilvl w:val="1"/>
      </w:numPr>
      <w:spacing w:after="48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7C1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6F321F"/>
    <w:rPr>
      <w:sz w:val="16"/>
      <w:szCs w:val="16"/>
    </w:rPr>
  </w:style>
  <w:style w:type="paragraph" w:styleId="CommentText">
    <w:name w:val="annotation text"/>
    <w:basedOn w:val="Normal"/>
    <w:link w:val="CommentTextChar"/>
    <w:uiPriority w:val="99"/>
    <w:semiHidden/>
    <w:unhideWhenUsed/>
    <w:rsid w:val="006F321F"/>
    <w:pPr>
      <w:spacing w:line="240" w:lineRule="auto"/>
    </w:pPr>
    <w:rPr>
      <w:sz w:val="20"/>
      <w:szCs w:val="20"/>
    </w:rPr>
  </w:style>
  <w:style w:type="character" w:customStyle="1" w:styleId="CommentTextChar">
    <w:name w:val="Comment Text Char"/>
    <w:basedOn w:val="DefaultParagraphFont"/>
    <w:link w:val="CommentText"/>
    <w:uiPriority w:val="99"/>
    <w:semiHidden/>
    <w:rsid w:val="006F321F"/>
    <w:rPr>
      <w:sz w:val="20"/>
      <w:szCs w:val="20"/>
    </w:rPr>
  </w:style>
  <w:style w:type="paragraph" w:styleId="CommentSubject">
    <w:name w:val="annotation subject"/>
    <w:basedOn w:val="CommentText"/>
    <w:next w:val="CommentText"/>
    <w:link w:val="CommentSubjectChar"/>
    <w:uiPriority w:val="99"/>
    <w:semiHidden/>
    <w:unhideWhenUsed/>
    <w:rsid w:val="006F321F"/>
    <w:rPr>
      <w:b/>
      <w:bCs/>
    </w:rPr>
  </w:style>
  <w:style w:type="character" w:customStyle="1" w:styleId="CommentSubjectChar">
    <w:name w:val="Comment Subject Char"/>
    <w:basedOn w:val="CommentTextChar"/>
    <w:link w:val="CommentSubject"/>
    <w:uiPriority w:val="99"/>
    <w:semiHidden/>
    <w:rsid w:val="006F321F"/>
    <w:rPr>
      <w:b/>
      <w:bCs/>
      <w:sz w:val="20"/>
      <w:szCs w:val="20"/>
    </w:rPr>
  </w:style>
  <w:style w:type="paragraph" w:customStyle="1" w:styleId="Default">
    <w:name w:val="Default"/>
    <w:rsid w:val="00134E73"/>
    <w:pPr>
      <w:autoSpaceDE w:val="0"/>
      <w:autoSpaceDN w:val="0"/>
      <w:adjustRightInd w:val="0"/>
      <w:spacing w:after="0" w:line="240" w:lineRule="auto"/>
    </w:pPr>
    <w:rPr>
      <w:rFonts w:ascii="Avenir" w:hAnsi="Avenir" w:cs="Avenir"/>
      <w:color w:val="000000"/>
      <w:sz w:val="24"/>
      <w:szCs w:val="24"/>
    </w:rPr>
  </w:style>
  <w:style w:type="paragraph" w:customStyle="1" w:styleId="p1">
    <w:name w:val="p1"/>
    <w:basedOn w:val="Normal"/>
    <w:rsid w:val="00CB2FA0"/>
    <w:pPr>
      <w:spacing w:after="0" w:line="240" w:lineRule="auto"/>
    </w:pPr>
    <w:rPr>
      <w:rFonts w:ascii="Times New Roman" w:hAnsi="Times New Roman" w:cs="Times New Roman"/>
      <w:sz w:val="15"/>
      <w:szCs w:val="15"/>
      <w:lang w:val="en-US"/>
    </w:rPr>
  </w:style>
  <w:style w:type="character" w:styleId="Strong">
    <w:name w:val="Strong"/>
    <w:basedOn w:val="DefaultParagraphFont"/>
    <w:uiPriority w:val="22"/>
    <w:qFormat/>
    <w:rsid w:val="00934A80"/>
    <w:rPr>
      <w:b/>
      <w:bCs/>
    </w:rPr>
  </w:style>
  <w:style w:type="character" w:styleId="Emphasis">
    <w:name w:val="Emphasis"/>
    <w:basedOn w:val="DefaultParagraphFont"/>
    <w:uiPriority w:val="20"/>
    <w:qFormat/>
    <w:rsid w:val="00934A80"/>
    <w:rPr>
      <w:i/>
      <w:iCs/>
    </w:rPr>
  </w:style>
  <w:style w:type="character" w:styleId="FollowedHyperlink">
    <w:name w:val="FollowedHyperlink"/>
    <w:basedOn w:val="DefaultParagraphFont"/>
    <w:uiPriority w:val="99"/>
    <w:semiHidden/>
    <w:unhideWhenUsed/>
    <w:rsid w:val="00D5269E"/>
    <w:rPr>
      <w:color w:val="930E14" w:themeColor="followedHyperlink"/>
      <w:u w:val="single"/>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E50BFA"/>
    <w:pPr>
      <w:spacing w:after="160" w:line="240" w:lineRule="exact"/>
    </w:pPr>
    <w:rPr>
      <w:vertAlign w:val="superscript"/>
    </w:rPr>
  </w:style>
  <w:style w:type="paragraph" w:customStyle="1" w:styleId="Pa8">
    <w:name w:val="Pa8"/>
    <w:basedOn w:val="Default"/>
    <w:next w:val="Default"/>
    <w:uiPriority w:val="99"/>
    <w:rsid w:val="007B4582"/>
    <w:pPr>
      <w:spacing w:line="602" w:lineRule="atLeast"/>
    </w:pPr>
    <w:rPr>
      <w:rFonts w:ascii="Gotham Bold" w:hAnsi="Gotham Bold" w:cstheme="minorBidi"/>
      <w:color w:val="auto"/>
    </w:rPr>
  </w:style>
  <w:style w:type="character" w:customStyle="1" w:styleId="A2">
    <w:name w:val="A2"/>
    <w:uiPriority w:val="99"/>
    <w:rsid w:val="007B4582"/>
    <w:rPr>
      <w:rFonts w:cs="Gotham Bold"/>
      <w:b/>
      <w:bCs/>
      <w:color w:val="000000"/>
      <w:sz w:val="22"/>
      <w:szCs w:val="22"/>
    </w:rPr>
  </w:style>
  <w:style w:type="paragraph" w:styleId="Caption">
    <w:name w:val="caption"/>
    <w:next w:val="Normal"/>
    <w:uiPriority w:val="35"/>
    <w:semiHidden/>
    <w:unhideWhenUsed/>
    <w:qFormat/>
    <w:rsid w:val="000C643F"/>
    <w:pPr>
      <w:keepNext/>
      <w:tabs>
        <w:tab w:val="left" w:pos="992"/>
      </w:tabs>
      <w:spacing w:before="360" w:after="120" w:line="264" w:lineRule="auto"/>
    </w:pPr>
    <w:rPr>
      <w:rFonts w:ascii="Arial" w:hAnsi="Arial"/>
      <w:b/>
      <w:bCs/>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81778">
      <w:bodyDiv w:val="1"/>
      <w:marLeft w:val="0"/>
      <w:marRight w:val="0"/>
      <w:marTop w:val="0"/>
      <w:marBottom w:val="0"/>
      <w:divBdr>
        <w:top w:val="none" w:sz="0" w:space="0" w:color="auto"/>
        <w:left w:val="none" w:sz="0" w:space="0" w:color="auto"/>
        <w:bottom w:val="none" w:sz="0" w:space="0" w:color="auto"/>
        <w:right w:val="none" w:sz="0" w:space="0" w:color="auto"/>
      </w:divBdr>
    </w:div>
    <w:div w:id="923729945">
      <w:bodyDiv w:val="1"/>
      <w:marLeft w:val="0"/>
      <w:marRight w:val="0"/>
      <w:marTop w:val="0"/>
      <w:marBottom w:val="0"/>
      <w:divBdr>
        <w:top w:val="none" w:sz="0" w:space="0" w:color="auto"/>
        <w:left w:val="none" w:sz="0" w:space="0" w:color="auto"/>
        <w:bottom w:val="none" w:sz="0" w:space="0" w:color="auto"/>
        <w:right w:val="none" w:sz="0" w:space="0" w:color="auto"/>
      </w:divBdr>
    </w:div>
    <w:div w:id="966937554">
      <w:bodyDiv w:val="1"/>
      <w:marLeft w:val="0"/>
      <w:marRight w:val="0"/>
      <w:marTop w:val="0"/>
      <w:marBottom w:val="0"/>
      <w:divBdr>
        <w:top w:val="none" w:sz="0" w:space="0" w:color="auto"/>
        <w:left w:val="none" w:sz="0" w:space="0" w:color="auto"/>
        <w:bottom w:val="none" w:sz="0" w:space="0" w:color="auto"/>
        <w:right w:val="none" w:sz="0" w:space="0" w:color="auto"/>
      </w:divBdr>
    </w:div>
    <w:div w:id="988436909">
      <w:bodyDiv w:val="1"/>
      <w:marLeft w:val="0"/>
      <w:marRight w:val="0"/>
      <w:marTop w:val="0"/>
      <w:marBottom w:val="0"/>
      <w:divBdr>
        <w:top w:val="none" w:sz="0" w:space="0" w:color="auto"/>
        <w:left w:val="none" w:sz="0" w:space="0" w:color="auto"/>
        <w:bottom w:val="none" w:sz="0" w:space="0" w:color="auto"/>
        <w:right w:val="none" w:sz="0" w:space="0" w:color="auto"/>
      </w:divBdr>
    </w:div>
    <w:div w:id="1023245640">
      <w:bodyDiv w:val="1"/>
      <w:marLeft w:val="0"/>
      <w:marRight w:val="0"/>
      <w:marTop w:val="0"/>
      <w:marBottom w:val="0"/>
      <w:divBdr>
        <w:top w:val="none" w:sz="0" w:space="0" w:color="auto"/>
        <w:left w:val="none" w:sz="0" w:space="0" w:color="auto"/>
        <w:bottom w:val="none" w:sz="0" w:space="0" w:color="auto"/>
        <w:right w:val="none" w:sz="0" w:space="0" w:color="auto"/>
      </w:divBdr>
    </w:div>
    <w:div w:id="1561624573">
      <w:bodyDiv w:val="1"/>
      <w:marLeft w:val="0"/>
      <w:marRight w:val="0"/>
      <w:marTop w:val="0"/>
      <w:marBottom w:val="0"/>
      <w:divBdr>
        <w:top w:val="none" w:sz="0" w:space="0" w:color="auto"/>
        <w:left w:val="none" w:sz="0" w:space="0" w:color="auto"/>
        <w:bottom w:val="none" w:sz="0" w:space="0" w:color="auto"/>
        <w:right w:val="none" w:sz="0" w:space="0" w:color="auto"/>
      </w:divBdr>
    </w:div>
    <w:div w:id="1944874150">
      <w:bodyDiv w:val="1"/>
      <w:marLeft w:val="0"/>
      <w:marRight w:val="0"/>
      <w:marTop w:val="0"/>
      <w:marBottom w:val="0"/>
      <w:divBdr>
        <w:top w:val="none" w:sz="0" w:space="0" w:color="auto"/>
        <w:left w:val="none" w:sz="0" w:space="0" w:color="auto"/>
        <w:bottom w:val="none" w:sz="0" w:space="0" w:color="auto"/>
        <w:right w:val="none" w:sz="0" w:space="0" w:color="auto"/>
      </w:divBdr>
    </w:div>
    <w:div w:id="2062896576">
      <w:bodyDiv w:val="1"/>
      <w:marLeft w:val="0"/>
      <w:marRight w:val="0"/>
      <w:marTop w:val="0"/>
      <w:marBottom w:val="0"/>
      <w:divBdr>
        <w:top w:val="none" w:sz="0" w:space="0" w:color="auto"/>
        <w:left w:val="none" w:sz="0" w:space="0" w:color="auto"/>
        <w:bottom w:val="none" w:sz="0" w:space="0" w:color="auto"/>
        <w:right w:val="none" w:sz="0" w:space="0" w:color="auto"/>
      </w:divBdr>
    </w:div>
    <w:div w:id="20785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n.org/development/desa/disabilities/publication-disability-sdgs.html" TargetMode="External"/><Relationship Id="rId18" Type="http://schemas.openxmlformats.org/officeDocument/2006/relationships/hyperlink" Target="https://dfat.gov.au/aid/how-we-measure-performance/ode/strategic-evaluations/Pages/development-for-all-evaluation.aspx" TargetMode="External"/><Relationship Id="rId26" Type="http://schemas.openxmlformats.org/officeDocument/2006/relationships/hyperlink" Target="https://dfat.gov.au/about-us/publications/Documents/performance-ofaustralian-aid-2016-17.pdf" TargetMode="External"/><Relationship Id="rId3" Type="http://schemas.openxmlformats.org/officeDocument/2006/relationships/styles" Target="styles.xml"/><Relationship Id="rId21" Type="http://schemas.openxmlformats.org/officeDocument/2006/relationships/hyperlink" Target="https://www.fpwhitepaper.gov.a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pwhitepaper.gov.au/" TargetMode="External"/><Relationship Id="rId17" Type="http://schemas.openxmlformats.org/officeDocument/2006/relationships/hyperlink" Target="https://dfat.gov.au/aid/how-we-measure-performance/ode/strategic-evaluations/Pages/development-for-all-evaluation.aspx" TargetMode="External"/><Relationship Id="rId25" Type="http://schemas.openxmlformats.org/officeDocument/2006/relationships/hyperlink" Target="https://www.oecd.org/development/effectiveness/busanpartnership.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rdixon\AppData\Local\Microsoft\Windows\Temporary%20Internet%20Files\Content.Outlook\F1CXPFLI\gladnetwork.net\network" TargetMode="External"/><Relationship Id="rId20" Type="http://schemas.openxmlformats.org/officeDocument/2006/relationships/hyperlink" Target="https://www.un.org/development/desa/disabilities/publication-disability-sdgs.html" TargetMode="External"/><Relationship Id="rId29" Type="http://schemas.openxmlformats.org/officeDocument/2006/relationships/hyperlink" Target="https://dfat.gov.au/aid/topics/development-issues/2030-agenda/Documents/sdg-voluntary-national-revi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pwhitepaper.gov.au/" TargetMode="External"/><Relationship Id="rId24" Type="http://schemas.openxmlformats.org/officeDocument/2006/relationships/hyperlink" Target="https://www.forumsec.org/wp-content/uploads/2018/05/PFRPD.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fat.gov.au/aid/topics/investment-priorities/building-resilience/humanitarian-policy-and-partnerships/Documents/ahp-factsheet.pdf" TargetMode="External"/><Relationship Id="rId23" Type="http://schemas.openxmlformats.org/officeDocument/2006/relationships/hyperlink" Target="https://www.unescap.org/publications/disability-glance-2012-strengthening-evidence-base-asia-and-pacific" TargetMode="External"/><Relationship Id="rId28" Type="http://schemas.openxmlformats.org/officeDocument/2006/relationships/hyperlink" Target="https://dfat.gov.au/aid/how-we-measure-performance/ode/other-work/Pages/evaluation-of-the-australian-ngo-cooperation-program.aspx" TargetMode="External"/><Relationship Id="rId36" Type="http://schemas.openxmlformats.org/officeDocument/2006/relationships/theme" Target="theme/theme1.xml"/><Relationship Id="rId10" Type="http://schemas.openxmlformats.org/officeDocument/2006/relationships/hyperlink" Target="https://www.fpwhitepaper.gov.au/" TargetMode="External"/><Relationship Id="rId19" Type="http://schemas.openxmlformats.org/officeDocument/2006/relationships/hyperlink" Target="https://dfat.gov.au/aid/how-we-measure-performance/ode/strategic-evaluations/Pages/development-for-all-evaluation.aspx" TargetMode="External"/><Relationship Id="rId31" Type="http://schemas.openxmlformats.org/officeDocument/2006/relationships/hyperlink" Target="https://dfat.gov.au/about-us/publications/Pages/aid-program-performance-reports.aspx" TargetMode="External"/><Relationship Id="rId4" Type="http://schemas.openxmlformats.org/officeDocument/2006/relationships/settings" Target="settings.xml"/><Relationship Id="rId9" Type="http://schemas.openxmlformats.org/officeDocument/2006/relationships/hyperlink" Target="file:///C:\Users\rdixon\AppData\Local\Microsoft\Windows\Temporary%20Internet%20Files\Content.Outlook\F1CXPFLI\United%20Nations%20Enable,%20Disability%20Inclusive%20Sustainable%20Develohttp:\www.un.org\disabilities\documents\%20sdgs\disability_inclusive_sdgs.pdf" TargetMode="External"/><Relationship Id="rId14" Type="http://schemas.openxmlformats.org/officeDocument/2006/relationships/hyperlink" Target="https://dfat.gov.au/aid/how-we-measure-performance/ode/strategic-evaluations/Pages/development-for-all-evaluation.aspx" TargetMode="External"/><Relationship Id="rId22" Type="http://schemas.openxmlformats.org/officeDocument/2006/relationships/hyperlink" Target="https://www.un.org/development/desa/disabilities/convention-on-the-rights-of-persons-with-disabilities/convention-on-the-rights-of-persons-with-disabilities-2.html" TargetMode="External"/><Relationship Id="rId27" Type="http://schemas.openxmlformats.org/officeDocument/2006/relationships/hyperlink" Target="http://www.oecd.org/dac/financing-sustainable-development/development-finance-topics/Aid-for-CSOs-2019.pdf" TargetMode="External"/><Relationship Id="rId30" Type="http://schemas.openxmlformats.org/officeDocument/2006/relationships/hyperlink" Target="https://unstats.un.org/sdgs/files/report/2017/thesustainabledevelopmentgoalsreport2017.pdf"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fat.gov.au/aid/how-we-measure-performance/ode/other-work/Pages/evaluation-of-the-australian-ngo-cooperation-program.aspx" TargetMode="External"/><Relationship Id="rId3" Type="http://schemas.openxmlformats.org/officeDocument/2006/relationships/hyperlink" Target="https://gladnetwork.net/search/resources/glad-infographic-inclusive-education" TargetMode="External"/><Relationship Id="rId7" Type="http://schemas.openxmlformats.org/officeDocument/2006/relationships/hyperlink" Target="http://www.oecd.org/dac/financing-sustainable-development/development-finance-topics/Aid-for-CSOs-2019.pdf" TargetMode="External"/><Relationship Id="rId2" Type="http://schemas.openxmlformats.org/officeDocument/2006/relationships/hyperlink" Target="https://www.un.org/development/desa/disabilities/publication-disability-sdgs.html" TargetMode="External"/><Relationship Id="rId1" Type="http://schemas.openxmlformats.org/officeDocument/2006/relationships/hyperlink" Target="https://www.un.org/development/desa/disabilities/publication-disability-sdgs.html" TargetMode="External"/><Relationship Id="rId6" Type="http://schemas.openxmlformats.org/officeDocument/2006/relationships/hyperlink" Target="https://dfat.gov.au/about-us/publications/Documents/performance-ofaustralian-aid-2016-17.pdf" TargetMode="External"/><Relationship Id="rId5" Type="http://schemas.openxmlformats.org/officeDocument/2006/relationships/hyperlink" Target="https://www.oecd.org/development/effectiveness/busanpartnership.htm" TargetMode="External"/><Relationship Id="rId4" Type="http://schemas.openxmlformats.org/officeDocument/2006/relationships/hyperlink" Target="https://www.un.org/development/desa/disabilities/resources/general-assembly/convention-on-the-rights-of-persons-with-disabilities-ares61106.html" TargetMode="External"/></Relationships>
</file>

<file path=word/theme/theme1.xml><?xml version="1.0" encoding="utf-8"?>
<a:theme xmlns:a="http://schemas.openxmlformats.org/drawingml/2006/main" name="Office Theme">
  <a:themeElements>
    <a:clrScheme name="CBM">
      <a:dk1>
        <a:sysClr val="windowText" lastClr="000000"/>
      </a:dk1>
      <a:lt1>
        <a:sysClr val="window" lastClr="FFFFFF"/>
      </a:lt1>
      <a:dk2>
        <a:srgbClr val="3F3F3F"/>
      </a:dk2>
      <a:lt2>
        <a:srgbClr val="EFEBE4"/>
      </a:lt2>
      <a:accent1>
        <a:srgbClr val="C4141B"/>
      </a:accent1>
      <a:accent2>
        <a:srgbClr val="B09C78"/>
      </a:accent2>
      <a:accent3>
        <a:srgbClr val="8C5BA5"/>
      </a:accent3>
      <a:accent4>
        <a:srgbClr val="FFC20C"/>
      </a:accent4>
      <a:accent5>
        <a:srgbClr val="719BD1"/>
      </a:accent5>
      <a:accent6>
        <a:srgbClr val="5CBB56"/>
      </a:accent6>
      <a:hlink>
        <a:srgbClr val="930E14"/>
      </a:hlink>
      <a:folHlink>
        <a:srgbClr val="930E14"/>
      </a:folHlink>
    </a:clrScheme>
    <a:fontScheme name="CB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D7198-753E-4EDC-9EC6-863BC6B8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CBM Australia</dc:creator>
  <cp:lastModifiedBy>Rachel Wallbridge</cp:lastModifiedBy>
  <cp:revision>8</cp:revision>
  <cp:lastPrinted>2020-02-13T01:44:00Z</cp:lastPrinted>
  <dcterms:created xsi:type="dcterms:W3CDTF">2020-02-13T01:21:00Z</dcterms:created>
  <dcterms:modified xsi:type="dcterms:W3CDTF">2020-02-13T01:44:00Z</dcterms:modified>
</cp:coreProperties>
</file>